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theme/theme1.xml" ContentType="application/vnd.openxmlformats-officedocument.theme+xml"/>
  <Override PartName="/word/footer4.xml" ContentType="application/vnd.openxmlformats-officedocument.wordprocessingml.footer+xml"/>
  <Override PartName="/word/fontTable.xml" ContentType="application/vnd.openxmlformats-officedocument.wordprocessingml.fontTable+xml"/>
  <Override PartName="/word/footer6.xml" ContentType="application/vnd.openxmlformats-officedocument.wordprocessingml.footer+xml"/>
  <Override PartName="/docProps/core.xml" ContentType="application/vnd.openxmlformats-package.core-properties+xml"/>
  <Override PartName="/word/header1.xml" ContentType="application/vnd.openxmlformats-officedocument.wordprocessingml.header+xml"/>
  <Override PartName="/word/numbering.xml" ContentType="application/vnd.openxmlformats-officedocument.wordprocessingml.numbering+xml"/>
  <Override PartName="/word/header5.xml" ContentType="application/vnd.openxmlformats-officedocument.wordprocessingml.header+xml"/>
  <Override PartName="/word/settings.xml" ContentType="application/vnd.openxmlformats-officedocument.wordprocessingml.settings+xml"/>
  <Override PartName="/docProps/custom.xml" ContentType="application/vnd.openxmlformats-officedocument.custom-properties+xml"/>
  <Override PartName="/word/header2.xml" ContentType="application/vnd.openxmlformats-officedocument.wordprocessingml.header+xml"/>
  <Override PartName="/word/footer3.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00000001">
      <w:pPr>
        <w:pStyle w:val="style0"/>
        <w:keepNext w:val="false"/>
        <w:keepLines w:val="false"/>
        <w:pageBreakBefore w:val="false"/>
        <w:widowControl/>
        <w:pBdr>
          <w:left w:val="nil"/>
          <w:right w:val="nil"/>
          <w:top w:val="nil"/>
          <w:bottom w:val="nil"/>
          <w:between w:val="nil"/>
        </w:pBdr>
        <w:shd w:val="clear" w:color="auto" w:fill="auto"/>
        <w:spacing w:before="0" w:after="240" w:lineRule="auto" w:line="240"/>
        <w:ind w:left="0" w:right="0" w:firstLine="0"/>
        <w:jc w:val="center"/>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8"/>
          <w:szCs w:val="28"/>
          <w:u w:val="none"/>
          <w:shd w:val="clear" w:color="auto" w:fill="auto"/>
          <w:vertAlign w:val="baseline"/>
        </w:rPr>
        <w:t>PELATIHAN BRIKET DAN BUSINESS MODEL CANVAS UNTUK KEMANDIRIAN EKONOMI MASYARAKAT JAGAPURA KIDUL</w:t>
      </w:r>
    </w:p>
    <w:p w14:paraId="00000002">
      <w:pPr>
        <w:pStyle w:val="style0"/>
        <w:keepNext w:val="false"/>
        <w:keepLines w:val="false"/>
        <w:pageBreakBefore w:val="false"/>
        <w:widowControl/>
        <w:pBdr>
          <w:left w:val="nil"/>
          <w:right w:val="nil"/>
          <w:top w:val="nil"/>
          <w:bottom w:val="nil"/>
          <w:between w:val="nil"/>
        </w:pBdr>
        <w:shd w:val="clear" w:color="auto" w:fill="auto"/>
        <w:spacing w:before="240" w:after="40" w:lineRule="auto" w:line="240"/>
        <w:ind w:left="0" w:right="0" w:firstLine="0"/>
        <w:jc w:val="center"/>
        <w:rPr>
          <w:rFonts w:ascii="Times New Roman" w:cs="Times New Roman" w:eastAsia="Times New Roman" w:hAnsi="Times New Roman"/>
          <w:b/>
          <w:bCs/>
          <w:i w:val="false"/>
          <w:iCs w:val="false"/>
          <w:smallCaps w:val="false"/>
          <w:color w:val="000000"/>
          <w:sz w:val="22"/>
          <w:szCs w:val="22"/>
          <w:u w:val="none"/>
          <w:shd w:val="clear" w:color="auto" w:fill="auto"/>
          <w:vertAlign w:val="baseline"/>
        </w:rPr>
      </w:pPr>
      <w:r>
        <w:rPr>
          <w:rFonts w:ascii="Times New Roman" w:cs="Times New Roman" w:eastAsia="Times New Roman" w:hAnsi="Times New Roman"/>
          <w:b/>
          <w:bCs/>
          <w:i w:val="false"/>
          <w:iCs w:val="false"/>
          <w:smallCaps w:val="false"/>
          <w:color w:val="000000"/>
          <w:sz w:val="22"/>
          <w:szCs w:val="22"/>
          <w:u w:val="none"/>
          <w:shd w:val="clear" w:color="auto" w:fill="auto"/>
          <w:vertAlign w:val="baseline"/>
        </w:rPr>
        <w:t>Muriani Nur Hayati</w:t>
      </w:r>
      <w:r>
        <w:rPr>
          <w:rFonts w:ascii="Times New Roman" w:cs="Times New Roman" w:eastAsia="Times New Roman" w:hAnsi="Times New Roman"/>
          <w:b/>
          <w:bCs/>
          <w:i w:val="false"/>
          <w:iCs w:val="false"/>
          <w:smallCaps w:val="false"/>
          <w:color w:val="000000"/>
          <w:sz w:val="22"/>
          <w:szCs w:val="22"/>
          <w:u w:val="none"/>
          <w:shd w:val="clear" w:color="auto" w:fill="auto"/>
          <w:vertAlign w:val="superscript"/>
        </w:rPr>
        <w:t xml:space="preserve"> </w:t>
      </w:r>
      <w:r>
        <w:rPr>
          <w:rFonts w:ascii="Times New Roman" w:cs="Times New Roman" w:eastAsia="Times New Roman" w:hAnsi="Times New Roman"/>
          <w:b/>
          <w:bCs/>
          <w:i w:val="false"/>
          <w:iCs w:val="false"/>
          <w:smallCaps w:val="false"/>
          <w:color w:val="000000"/>
          <w:sz w:val="22"/>
          <w:szCs w:val="22"/>
          <w:u w:val="none"/>
          <w:shd w:val="clear" w:color="auto" w:fill="auto"/>
          <w:vertAlign w:val="baseline"/>
        </w:rPr>
        <w:t>, Rikha Asifaati, Arsyilah Rachmani, Aldella Mey Khalisya Astuti, Kukuh Septian Tri Pamungkas, Abdul Aziz Riyanto</w:t>
      </w:r>
    </w:p>
    <w:p w14:paraId="00000003">
      <w:pPr>
        <w:pStyle w:val="style0"/>
        <w:keepNext w:val="false"/>
        <w:keepLines w:val="false"/>
        <w:pageBreakBefore w:val="false"/>
        <w:widowControl/>
        <w:pBdr>
          <w:left w:val="nil"/>
          <w:right w:val="nil"/>
          <w:top w:val="nil"/>
          <w:bottom w:val="nil"/>
          <w:between w:val="nil"/>
        </w:pBdr>
        <w:shd w:val="clear" w:color="auto" w:fill="auto"/>
        <w:spacing w:before="40" w:after="240" w:lineRule="auto" w:line="240"/>
        <w:ind w:left="0" w:right="0" w:firstLine="0"/>
        <w:jc w:val="center"/>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t>Universitas Pancasakti Tegal, Tegal, Indonesia</w:t>
      </w:r>
      <w:r>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br/>
      </w:r>
      <w:r>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t xml:space="preserve">E-mail korespondensi: </w:t>
      </w:r>
      <w:r>
        <w:rPr/>
        <w:fldChar w:fldCharType="begin"/>
      </w:r>
      <w:r>
        <w:instrText xml:space="preserve"> HYPERLINK "mailto:muriani.nh@upstegal.ac.id" </w:instrText>
      </w:r>
      <w:r>
        <w:rPr/>
        <w:fldChar w:fldCharType="separate"/>
      </w:r>
      <w:r>
        <w:rPr>
          <w:rFonts w:ascii="Times New Roman" w:cs="Times New Roman" w:eastAsia="Times New Roman" w:hAnsi="Times New Roman"/>
          <w:b w:val="false"/>
          <w:bCs w:val="false"/>
          <w:i w:val="false"/>
          <w:iCs w:val="false"/>
          <w:smallCaps w:val="false"/>
          <w:color w:val="0000ff"/>
          <w:sz w:val="20"/>
          <w:szCs w:val="20"/>
          <w:u w:val="single"/>
          <w:shd w:val="clear" w:color="auto" w:fill="auto"/>
          <w:vertAlign w:val="baseline"/>
        </w:rPr>
        <w:t>muriani.nh@upstegal.ac.id</w:t>
      </w:r>
      <w:r>
        <w:rPr/>
        <w:fldChar w:fldCharType="end"/>
      </w:r>
      <w:r>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t xml:space="preserve"> </w:t>
      </w:r>
    </w:p>
    <w:p w14:paraId="00000004">
      <w:pPr>
        <w:pStyle w:val="style0"/>
        <w:keepNext w:val="false"/>
        <w:keepLines w:val="false"/>
        <w:pageBreakBefore w:val="false"/>
        <w:widowControl/>
        <w:pBdr>
          <w:left w:val="nil"/>
          <w:right w:val="nil"/>
          <w:top w:val="nil"/>
          <w:bottom w:val="nil"/>
          <w:between w:val="nil"/>
        </w:pBdr>
        <w:shd w:val="clear" w:color="auto" w:fill="auto"/>
        <w:spacing w:before="80" w:after="120" w:lineRule="auto" w:line="240"/>
        <w:ind w:left="0" w:right="0" w:firstLine="0"/>
        <w:jc w:val="center"/>
        <w:rPr>
          <w:rFonts w:ascii="Times New Roman" w:cs="Times New Roman" w:eastAsia="Times New Roman" w:hAnsi="Times New Roman"/>
          <w:b/>
          <w:bCs/>
          <w:i w:val="false"/>
          <w:iCs w:val="false"/>
          <w:smallCaps w:val="false"/>
          <w:color w:val="000000"/>
          <w:sz w:val="22"/>
          <w:szCs w:val="22"/>
          <w:u w:val="none"/>
          <w:shd w:val="clear" w:color="auto" w:fill="auto"/>
          <w:vertAlign w:val="baseline"/>
        </w:rPr>
      </w:pPr>
      <w:r>
        <w:rPr>
          <w:rFonts w:ascii="Times New Roman" w:cs="Times New Roman" w:eastAsia="Times New Roman" w:hAnsi="Times New Roman"/>
          <w:b/>
          <w:bCs/>
          <w:i w:val="false"/>
          <w:iCs w:val="false"/>
          <w:smallCaps w:val="false"/>
          <w:color w:val="000000"/>
          <w:sz w:val="22"/>
          <w:szCs w:val="22"/>
          <w:u w:val="none"/>
          <w:shd w:val="clear" w:color="auto" w:fill="auto"/>
          <w:vertAlign w:val="baseline"/>
        </w:rPr>
        <w:t>Abstract</w:t>
      </w:r>
    </w:p>
    <w:p w14:paraId="00000005">
      <w:pPr>
        <w:pStyle w:val="style0"/>
        <w:keepNext w:val="false"/>
        <w:keepLines w:val="false"/>
        <w:pageBreakBefore w:val="false"/>
        <w:widowControl/>
        <w:pBdr>
          <w:left w:val="nil"/>
          <w:right w:val="nil"/>
          <w:top w:val="nil"/>
          <w:bottom w:val="nil"/>
          <w:between w:val="nil"/>
        </w:pBdr>
        <w:shd w:val="clear" w:color="auto" w:fill="auto"/>
        <w:spacing w:before="0" w:after="0" w:lineRule="auto" w:line="240"/>
        <w:ind w:left="567" w:right="567" w:firstLine="0"/>
        <w:jc w:val="both"/>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t>Jagapura Kidul Village in Cirebon Regency is situated in an agricultural area where rice-processing activities can generate rice husk residues. When this biomass is unmanaged, it has limited economic value and may be disposed of or burned without productive use. This community service program combined technical training on rice-husk biochar briquette production with Business Model Canvas training to connect waste utilization with a feasible village business model. The activity employed participatory training, demonstration, hands-on practice, group discussion, and mentoring. The technical session covered raw-material preparation, controlled carbonization, charcoal size reduction, starch-binder preparation, mixing, molding, drying, and basic quality observation. The entrepreneurship session guided participants to map customer segments, value propositions, channels, customer relationships, revenue streams, key resources, key activities, key partners, and cost structure. The program produced a structured briquette-production workflow and a preliminary Business Model Canvas for a community-based briquette enterprise. The student KKN output book was also used as a practical reference for production, safety, quality control, management, and marketing. Quantitative indicators such as participant numbers, pre-test/post-test scores, product yield, and follow-up production frequency should be inserted from field records before publication. The integrated approach is expected to strengthen technical capability, entrepreneurial thinking, and the basis for community economic self-reliance through locally available agricultural biomass.</w:t>
      </w:r>
    </w:p>
    <w:p w14:paraId="00000006">
      <w:pPr>
        <w:pStyle w:val="style0"/>
        <w:keepNext w:val="false"/>
        <w:keepLines w:val="false"/>
        <w:pageBreakBefore w:val="false"/>
        <w:widowControl/>
        <w:pBdr>
          <w:left w:val="nil"/>
          <w:right w:val="nil"/>
          <w:top w:val="nil"/>
          <w:bottom w:val="nil"/>
          <w:between w:val="nil"/>
        </w:pBdr>
        <w:shd w:val="clear" w:color="auto" w:fill="auto"/>
        <w:spacing w:before="0" w:after="0" w:lineRule="auto" w:line="240"/>
        <w:ind w:left="567" w:right="567" w:firstLine="0"/>
        <w:jc w:val="both"/>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pPr>
      <w:r>
        <w:rPr>
          <w:rFonts w:ascii="Times New Roman" w:cs="Times New Roman" w:eastAsia="Times New Roman" w:hAnsi="Times New Roman"/>
          <w:b w:val="false"/>
          <w:bCs w:val="false"/>
          <w:i/>
          <w:iCs/>
          <w:smallCaps w:val="false"/>
          <w:color w:val="000000"/>
          <w:sz w:val="20"/>
          <w:szCs w:val="20"/>
          <w:u w:val="none"/>
          <w:shd w:val="clear" w:color="auto" w:fill="auto"/>
          <w:vertAlign w:val="baseline"/>
        </w:rPr>
        <w:t>Keywords: rice husk briquette; Business Model Canvas; community empowerment; circular economy; village entrepreneurship</w:t>
      </w:r>
    </w:p>
    <w:p w14:paraId="00000007">
      <w:pPr>
        <w:pStyle w:val="style0"/>
        <w:keepNext w:val="false"/>
        <w:keepLines w:val="false"/>
        <w:pageBreakBefore w:val="false"/>
        <w:widowControl/>
        <w:pBdr>
          <w:left w:val="nil"/>
          <w:right w:val="nil"/>
          <w:top w:val="nil"/>
          <w:bottom w:val="nil"/>
          <w:between w:val="nil"/>
        </w:pBdr>
        <w:shd w:val="clear" w:color="auto" w:fill="auto"/>
        <w:spacing w:before="80" w:after="120" w:lineRule="auto" w:line="240"/>
        <w:ind w:left="0" w:right="0" w:firstLine="0"/>
        <w:jc w:val="center"/>
        <w:rPr>
          <w:rFonts w:ascii="Times New Roman" w:cs="Times New Roman" w:eastAsia="Times New Roman" w:hAnsi="Times New Roman"/>
          <w:b/>
          <w:bCs/>
          <w:i w:val="false"/>
          <w:iCs w:val="false"/>
          <w:smallCaps w:val="false"/>
          <w:color w:val="000000"/>
          <w:sz w:val="22"/>
          <w:szCs w:val="22"/>
          <w:u w:val="none"/>
          <w:shd w:val="clear" w:color="auto" w:fill="auto"/>
          <w:vertAlign w:val="baseline"/>
        </w:rPr>
      </w:pPr>
      <w:r>
        <w:rPr>
          <w:rFonts w:ascii="Times New Roman" w:cs="Times New Roman" w:eastAsia="Times New Roman" w:hAnsi="Times New Roman"/>
          <w:b/>
          <w:bCs/>
          <w:i w:val="false"/>
          <w:iCs w:val="false"/>
          <w:smallCaps w:val="false"/>
          <w:color w:val="000000"/>
          <w:sz w:val="22"/>
          <w:szCs w:val="22"/>
          <w:u w:val="none"/>
          <w:shd w:val="clear" w:color="auto" w:fill="auto"/>
          <w:vertAlign w:val="baseline"/>
        </w:rPr>
        <w:t>Abstrak</w:t>
      </w:r>
    </w:p>
    <w:p w14:paraId="00000008">
      <w:pPr>
        <w:pStyle w:val="style0"/>
        <w:keepNext w:val="false"/>
        <w:keepLines w:val="false"/>
        <w:pageBreakBefore w:val="false"/>
        <w:widowControl/>
        <w:pBdr>
          <w:left w:val="nil"/>
          <w:right w:val="nil"/>
          <w:top w:val="nil"/>
          <w:bottom w:val="nil"/>
          <w:between w:val="nil"/>
        </w:pBdr>
        <w:shd w:val="clear" w:color="auto" w:fill="auto"/>
        <w:spacing w:before="0" w:after="0" w:lineRule="auto" w:line="240"/>
        <w:ind w:left="567" w:right="567" w:firstLine="0"/>
        <w:jc w:val="both"/>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t>Desa Jagapura Kidul, Kabupaten Cirebon, berada pada wilayah yang memiliki aktivitas pertanian dan pengolahan padi sehingga berpotensi menghasilkan limbah sekam padi. Apabila belum dikelola secara produktif, biomassa tersebut memiliki nilai ekonomi rendah dan berpotensi dibuang atau dibakar tanpa pemanfaatan optimal. Kegiatan pengabdian ini mengintegrasikan pelatihan teknis pembuatan briket bioarang berbahan sekam padi dengan penyusunan Business Model Canvas agar pemanfaatan limbah tidak berhenti pada keterampilan produksi, tetapi berkembang menjadi gagasan usaha yang lebih terarah. Metode kegiatan menggunakan pelatihan partisipatif, demonstrasi, praktik langsung, diskusi kelompok, dan pendampingan. Materi teknis meliputi penyiapan bahan, karbonisasi terkendali, pengecilan ukuran arang, pembuatan perekat kanji, pencampuran, pencetakan, pengeringan, serta pengamatan mutu dasar. Pada aspek kewirausahaan, peserta diarahkan menyusun sembilan elemen Business Model Canvas mulai dari segmen pelanggan hingga struktur biaya. Luaran kegiatan berupa alur produksi briket yang sistematis, rancangan awal model bisnis briket berbasis masyarakat, serta pemanfaatan buku luaran KKN sebagai panduan produksi, keselamatan, mutu, manajemen, dan pemasaran. Kegiatan ini diikuti oleh 9 orang peserta yang terdiri dari unsur masyarakat, pendamping desa, dan instansi terkait. Pendekatan terpadu ini diharapkan memperkuat keterampilan teknis, pola pikir kewirausahaan, dan fondasi kemandirian ekonomi masyarakat berbasis potensi lokal.</w:t>
      </w:r>
    </w:p>
    <w:p w14:paraId="00000009">
      <w:pPr>
        <w:pStyle w:val="style0"/>
        <w:keepNext w:val="false"/>
        <w:keepLines w:val="false"/>
        <w:pageBreakBefore w:val="false"/>
        <w:widowControl/>
        <w:pBdr>
          <w:left w:val="nil"/>
          <w:right w:val="nil"/>
          <w:top w:val="nil"/>
          <w:bottom w:val="nil"/>
          <w:between w:val="nil"/>
        </w:pBdr>
        <w:shd w:val="clear" w:color="auto" w:fill="auto"/>
        <w:spacing w:before="0" w:after="0" w:lineRule="auto" w:line="240"/>
        <w:ind w:left="567" w:right="567" w:firstLine="0"/>
        <w:jc w:val="both"/>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pPr>
      <w:r>
        <w:rPr>
          <w:rFonts w:ascii="Times New Roman" w:cs="Times New Roman" w:eastAsia="Times New Roman" w:hAnsi="Times New Roman"/>
          <w:b w:val="false"/>
          <w:bCs w:val="false"/>
          <w:i/>
          <w:iCs/>
          <w:smallCaps w:val="false"/>
          <w:color w:val="000000"/>
          <w:sz w:val="20"/>
          <w:szCs w:val="20"/>
          <w:u w:val="none"/>
          <w:shd w:val="clear" w:color="auto" w:fill="auto"/>
          <w:vertAlign w:val="baseline"/>
        </w:rPr>
        <w:t>Kata Kunci: briket sekam padi; Business Model Canvas; pemberdayaan masyarakat; ekonomi sirkular; kewirausahaan desa</w:t>
      </w:r>
    </w:p>
    <w:p w14:paraId="0000000A">
      <w:pPr>
        <w:pStyle w:val="style1"/>
        <w:tabs>
          <w:tab w:val="left" w:leader="none" w:pos="216"/>
        </w:tabs>
        <w:spacing w:before="160" w:after="200"/>
        <w:jc w:val="left"/>
        <w:rPr/>
      </w:pPr>
      <w:r>
        <w:rPr>
          <w:b/>
          <w:bCs/>
        </w:rPr>
        <w:t>PENDAHULUAN</w:t>
      </w:r>
    </w:p>
    <w:p w14:paraId="0000000B">
      <w:pPr>
        <w:pStyle w:val="style0"/>
        <w:keepNext w:val="false"/>
        <w:keepLines w:val="false"/>
        <w:pageBreakBefore w:val="false"/>
        <w:widowControl/>
        <w:pBdr>
          <w:left w:val="nil"/>
          <w:right w:val="nil"/>
          <w:top w:val="nil"/>
          <w:bottom w:val="nil"/>
          <w:between w:val="nil"/>
        </w:pBdr>
        <w:shd w:val="clear" w:color="auto" w:fill="auto"/>
        <w:spacing w:before="0" w:after="0" w:lineRule="auto" w:line="480"/>
        <w:ind w:left="0" w:right="0" w:firstLine="567"/>
        <w:jc w:val="both"/>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t>Pemanfaatan biomassa pertanian merupakan salah satu jalur yang relevan untuk menghubungkan isu lingkungan, energi alternatif, dan penguatan ekonomi lokal. Sekam padi sebagai hasil samping penggilingan tersedia secara berulang di wilayah sentra padi dan dapat menimbulkan persoalan apabila hanya ditumpuk atau dibakar terbuka. Dokumen luaran KKN yang menjadi data pendukung kegiatan ini menekankan bahwa sekam padi relatif mudah diperoleh di wilayah pertanian dan dapat diolah menjadi briket bioarang melalui teknologi yang disesuaikan dengan kemampuan masyarakat. Dokumen tersebut juga menempatkan aspek teknis, sosial, ekonomi, dan lingkungan sebagai satu kesatuan dalam pengembangan briket berbasis desa.</w:t>
      </w:r>
    </w:p>
    <w:p w14:paraId="0000000C">
      <w:pPr>
        <w:pStyle w:val="style0"/>
        <w:keepNext w:val="false"/>
        <w:keepLines w:val="false"/>
        <w:pageBreakBefore w:val="false"/>
        <w:widowControl/>
        <w:pBdr>
          <w:left w:val="nil"/>
          <w:right w:val="nil"/>
          <w:top w:val="nil"/>
          <w:bottom w:val="nil"/>
          <w:between w:val="nil"/>
        </w:pBdr>
        <w:shd w:val="clear" w:color="auto" w:fill="auto"/>
        <w:spacing w:before="0" w:after="0" w:lineRule="auto" w:line="480"/>
        <w:ind w:left="0" w:right="0" w:firstLine="567"/>
        <w:jc w:val="both"/>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t>Potensi tersebut relevan dengan karakter Kabupaten Cirebon sebagai wilayah pertanian. Pemerintah Kabupaten Cirebon mencatat bahwa pada 2024 luas tanam padi mencapai 91.395 ha, luas panen 90.587 ha, dan produksi padi mencapai 683.880 ton gabah kering panen. Data ini memperlihatkan basis pertanian padi yang kuat dan sekaligus mengindikasikan keberadaan residu biomassa yang dapat diarahkan menjadi produk bernilai tambah (Pemerintah Kabupaten Cirebon, 2025). Pada tingkat nasional, produksi padi 2025 mencapai 60,21 juta ton gabah kering giling, menunjukkan bahwa pengelolaan residu pertanian tetap menjadi isu penting dalam kerangka efisiensi sumber daya dan ekonomi sirkular (BPS, 2026).</w:t>
      </w:r>
    </w:p>
    <w:p w14:paraId="0000000D">
      <w:pPr>
        <w:pStyle w:val="style0"/>
        <w:keepNext w:val="false"/>
        <w:keepLines w:val="false"/>
        <w:pageBreakBefore w:val="false"/>
        <w:widowControl/>
        <w:pBdr>
          <w:left w:val="nil"/>
          <w:right w:val="nil"/>
          <w:top w:val="nil"/>
          <w:bottom w:val="nil"/>
          <w:between w:val="nil"/>
        </w:pBdr>
        <w:shd w:val="clear" w:color="auto" w:fill="auto"/>
        <w:spacing w:before="0" w:after="0" w:lineRule="auto" w:line="480"/>
        <w:ind w:left="0" w:right="0" w:firstLine="567"/>
        <w:jc w:val="both"/>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t>Sejumlah kegiatan pengabdian terbaru menunjukkan bahwa pelatihan pembuatan briket sekam padi dapat menjadi sarana transfer teknologi tepat guna sekaligus pemberdayaan masyarakat. Oktafia dkk. (2024) melaporkan pelatihan pengolahan sekam menjadi briket yang dipadukan dengan pemasaran digital, sedangkan Ulva dkk. (2025) menempatkan pelatihan briket sebagai upaya pemanfaatan limbah pertanian menjadi sumber energi alternatif. Dhaifullah dkk. (2025) juga menekankan peningkatan nilai tambah limbah pertanian melalui pengolahan sekam menjadi briket arang. Temuan-temuan tersebut memperkuat argumentasi bahwa keberhasilan program tidak cukup hanya menghasilkan produk, tetapi perlu mendorong kemampuan masyarakat untuk melanjutkan proses produksi dan menemukan pasar.</w:t>
      </w:r>
    </w:p>
    <w:p w14:paraId="0000000E">
      <w:pPr>
        <w:pStyle w:val="style0"/>
        <w:keepNext w:val="false"/>
        <w:keepLines w:val="false"/>
        <w:pageBreakBefore w:val="false"/>
        <w:widowControl/>
        <w:pBdr>
          <w:left w:val="nil"/>
          <w:right w:val="nil"/>
          <w:top w:val="nil"/>
          <w:bottom w:val="nil"/>
          <w:between w:val="nil"/>
        </w:pBdr>
        <w:shd w:val="clear" w:color="auto" w:fill="auto"/>
        <w:spacing w:before="0" w:after="0" w:lineRule="auto" w:line="480"/>
        <w:ind w:left="0" w:right="0" w:firstLine="567"/>
        <w:jc w:val="both"/>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t>Aspek keberlanjutan usaha menjadi tantangan berikutnya. Produk yang secara teknis dapat dibuat belum otomatis berkembang menjadi usaha apabila kelompok belum memahami siapa konsumennya, nilai apa yang ditawarkan, bagaimana produk dijual, sumber daya apa yang dibutuhkan, dan biaya apa yang harus dikendalikan. Business Model Canvas menawarkan kerangka sederhana untuk memetakan komponen tersebut secara visual. Program pendampingan UMKM menunjukkan bahwa BMC dapat membantu pelaku usaha menata strategi pasar dan pengembangan usaha (Hermawati dan Ekawarti, 2024; Wisnubroto dan Yulianto, 2024). Studi pendampingan di Cirebon juga menggunakan BMC sebagai kerangka bagi UMKM untuk memahami persaingan dan menyusun arah pengembangan usahanya (Magdalena dkk., 2024).</w:t>
      </w:r>
    </w:p>
    <w:p w14:paraId="0000000F">
      <w:pPr>
        <w:pStyle w:val="style0"/>
        <w:keepNext w:val="false"/>
        <w:keepLines w:val="false"/>
        <w:pageBreakBefore w:val="false"/>
        <w:widowControl/>
        <w:pBdr>
          <w:left w:val="nil"/>
          <w:right w:val="nil"/>
          <w:top w:val="nil"/>
          <w:bottom w:val="nil"/>
          <w:between w:val="nil"/>
        </w:pBdr>
        <w:shd w:val="clear" w:color="auto" w:fill="auto"/>
        <w:spacing w:before="0" w:after="0" w:lineRule="auto" w:line="480"/>
        <w:ind w:left="0" w:right="0" w:firstLine="567"/>
        <w:jc w:val="both"/>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t>Berdasarkan kondisi tersebut, permasalahan prioritas mitra dalam artikel ini dirumuskan menjadi dua hal. Pertama, masyarakat memerlukan keterampilan praktis untuk mengolah sekam padi menjadi briket bioarang dengan tahapan yang aman, sederhana, dan dapat direplikasi. Kedua, masyarakat memerlukan kerangka perencanaan usaha agar produk briket tidak berhenti sebagai hasil demonstrasi, tetapi memiliki arah konsumen, pemasaran, kemitraan, biaya, dan pendapatan. Solusi yang ditawarkan adalah pelatihan terpadu pembuatan briket dan penyusunan Business Model Canvas. Target luaran berupa peningkatan pengetahuan dan keterampilan pengolahan sekam, prototipe briket, rancangan BMC usaha briket, serta rencana tindak lanjut kelompok.</w:t>
      </w:r>
    </w:p>
    <w:p w14:paraId="00000010">
      <w:pPr>
        <w:pStyle w:val="style1"/>
        <w:tabs>
          <w:tab w:val="left" w:leader="none" w:pos="216"/>
        </w:tabs>
        <w:spacing w:before="160" w:after="200"/>
        <w:jc w:val="left"/>
        <w:rPr/>
      </w:pPr>
      <w:r>
        <w:rPr>
          <w:b/>
          <w:bCs/>
        </w:rPr>
        <w:t>PELAKSANAAN DAN METODE</w:t>
      </w:r>
    </w:p>
    <w:p w14:paraId="00000011">
      <w:pPr>
        <w:pStyle w:val="style0"/>
        <w:keepNext w:val="false"/>
        <w:keepLines w:val="false"/>
        <w:pageBreakBefore w:val="false"/>
        <w:widowControl/>
        <w:pBdr>
          <w:left w:val="nil"/>
          <w:right w:val="nil"/>
          <w:top w:val="nil"/>
          <w:bottom w:val="nil"/>
          <w:between w:val="nil"/>
        </w:pBdr>
        <w:shd w:val="clear" w:color="auto" w:fill="auto"/>
        <w:spacing w:before="0" w:after="0" w:lineRule="auto" w:line="480"/>
        <w:ind w:left="0" w:right="0" w:firstLine="567"/>
        <w:jc w:val="both"/>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t>Kegiatan pengabdian dilaksanakan di Desa Jagapura Kidul, Kabupaten Cirebon, pada 5 Agustus 2026 dengan melibatkan 9 peserta yang berasal dari masyarakat Jagapura Kidul: Akyas bekerja sebagai buruh; Buni dan Wahrniti sebagai anggota PKK Jagapura Kidul; M. Amin Yasin sebagai wiraswasta; Anny Sofranny sebagai Kepwil IV; Rikhatul Jannah sebagai TU; Agus Ismail dan Yosi S. sebagai pendamping desa; serta Karim sebagai pedagang UMKM. Kegiatan merupakan bagian dari program KKN mahasiswa Universitas Pancasakti Tegal dan menggunakan pendekatan partisipatif. Masyarakat ditempatkan sebagai mitra yang memiliki pengetahuan lokal, akses bahan baku, pengalaman penggunaan energi, dan pemahaman terhadap kebutuhan pasar setempat, sedangkan tim KKN berperan sebagai fasilitator pengetahuan, demonstrasi teknis, pencatatan, dan pendampingan awal.</w:t>
      </w:r>
    </w:p>
    <w:p w14:paraId="00000012">
      <w:pPr>
        <w:pStyle w:val="style0"/>
        <w:keepNext w:val="false"/>
        <w:keepLines w:val="false"/>
        <w:pageBreakBefore w:val="false"/>
        <w:widowControl/>
        <w:pBdr>
          <w:left w:val="nil"/>
          <w:right w:val="nil"/>
          <w:top w:val="nil"/>
          <w:bottom w:val="nil"/>
          <w:between w:val="nil"/>
        </w:pBdr>
        <w:shd w:val="clear" w:color="auto" w:fill="auto"/>
        <w:spacing w:before="0" w:after="0" w:lineRule="auto" w:line="480"/>
        <w:ind w:left="0" w:right="0" w:firstLine="567"/>
        <w:jc w:val="both"/>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t>Pelaksanaan dibagi menjadi empat tahap. Tahap pertama adalah identifikasi potensi dan masalah melalui observasi bahan baku, diskusi dengan mitra, dan pemetaan pemanfaatan sekam padi. Tahap kedua adalah pelatihan teknis pembuatan briket. Materi mencakup pengeringan bahan, karbonisasi dengan suplai oksigen terbatas, pendinginan arang secara aman, pengecilan ukuran, pembuatan perekat kanji, pencampuran, pencetakan, serta pengeringan. Buku luaran KKN menegaskan bahwa variasi kadar perekat, lama pengeringan, ukuran cetakan, dan metode karbonisasi dapat menghasilkan mutu yang berbeda sehingga setiap perubahan proses perlu dicatat.</w:t>
      </w:r>
    </w:p>
    <w:p w14:paraId="00000013">
      <w:pPr>
        <w:pStyle w:val="style0"/>
        <w:keepNext w:val="false"/>
        <w:keepLines w:val="false"/>
        <w:pageBreakBefore w:val="false"/>
        <w:widowControl/>
        <w:pBdr>
          <w:left w:val="nil"/>
          <w:right w:val="nil"/>
          <w:top w:val="nil"/>
          <w:bottom w:val="nil"/>
          <w:between w:val="nil"/>
        </w:pBdr>
        <w:shd w:val="clear" w:color="auto" w:fill="auto"/>
        <w:spacing w:before="0" w:after="0" w:lineRule="auto" w:line="480"/>
        <w:ind w:left="0" w:right="0" w:firstLine="567"/>
        <w:jc w:val="both"/>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t>Tahap ketiga adalah praktik penyusunan Business Model Canvas secara berkelompok. Pada hari Rabu, 5 Agustus 2026, Tim KKN Jagapura Kidul Cirebon menyelenggarakan Pelatihan dan Workshop Kewirausahaan bertajuk "Pemberdayaan Masyarakat melalui Produksi Briket Ramah Lingkungan Berbasis Business Model Canvas" yang diikuti oleh 9 peserta dari masyarakat Desa Jagapura Kidul, dengan menghadirkan Khalimatus Sa'diyah, seorang praktisi Business Model Canvas (BMC), sebagai narasumber. Kegiatan ini bertujuan untuk membekali peserta dengan pemahaman mengenai penyusunan model bisnis sederhana melalui pendekatan Business Model Canvas, sehingga produksi briket ramah lingkungan berbahan dasar sekam padi yang dikembangkan masyarakat dapat dikelola secara lebih terarah dan berkelanjutan Peserta diarahkan memetakan sembilan elemen BMC, yaitu customer segments, value propositions, channels, customer relationships, revenue streams, key resources, key activities, key partners, dan cost structure. Pendekatan ini dipilih karena BMC dapat menjembatani keterampilan produksi dengan logika usaha. Pelatihan BMC yang terstruktur pada kegiatan pengabdian lain terbukti mampu meningkatkan pemahaman peserta dan membantu penyusunan model bisnis yang lebih sistematis (Rahmat dan Darni, 2024; Hermawati dan Ekawarti, 2024).</w:t>
      </w:r>
    </w:p>
    <w:p w14:paraId="00000014">
      <w:pPr>
        <w:pStyle w:val="style0"/>
        <w:keepNext w:val="false"/>
        <w:keepLines w:val="false"/>
        <w:pageBreakBefore w:val="false"/>
        <w:widowControl/>
        <w:pBdr>
          <w:left w:val="nil"/>
          <w:right w:val="nil"/>
          <w:top w:val="nil"/>
          <w:bottom w:val="nil"/>
          <w:between w:val="nil"/>
        </w:pBdr>
        <w:shd w:val="clear" w:color="auto" w:fill="auto"/>
        <w:spacing w:before="0" w:after="0" w:lineRule="auto" w:line="480"/>
        <w:ind w:left="0" w:right="0" w:firstLine="567"/>
        <w:jc w:val="both"/>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t>Tahap keempat adalah evaluasi dan rencana tindak lanjut. Evaluasi ideal dilakukan melalui pre-test dan post-test, observasi praktik, penilaian prototipe, serta penilaian kelengkapan BMC. Karena dokumen pendukung yang tersedia belum memuat data kuantitatif pelaksanaan, nilai pre-test, post-test, jumlah prototipe, serta persentase ketercapaian indikator disediakan sebagai kolom yang harus dilengkapi dari catatan lapangan sebelum publikasi.</w:t>
      </w:r>
    </w:p>
    <w:p w14:paraId="00000015">
      <w:pPr>
        <w:pStyle w:val="style0"/>
        <w:keepNext w:val="false"/>
        <w:keepLines w:val="false"/>
        <w:pageBreakBefore w:val="false"/>
        <w:widowControl/>
        <w:pBdr>
          <w:left w:val="nil"/>
          <w:right w:val="nil"/>
          <w:top w:val="nil"/>
          <w:bottom w:val="nil"/>
          <w:between w:val="nil"/>
        </w:pBdr>
        <w:shd w:val="clear" w:color="auto" w:fill="auto"/>
        <w:spacing w:before="0" w:after="80" w:lineRule="auto" w:line="360"/>
        <w:ind w:left="0" w:right="0" w:firstLine="289"/>
        <w:jc w:val="both"/>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pPr>
      <w:r>
        <w:rPr>
          <w:rFonts w:ascii="Times New Roman" w:cs="Times New Roman" w:eastAsia="Times New Roman" w:hAnsi="Times New Roman"/>
          <w:b/>
          <w:bCs/>
          <w:i w:val="false"/>
          <w:iCs w:val="false"/>
          <w:smallCaps w:val="false"/>
          <w:color w:val="000000"/>
          <w:sz w:val="22"/>
          <w:szCs w:val="22"/>
          <w:u w:val="none"/>
          <w:shd w:val="clear" w:color="auto" w:fill="auto"/>
          <w:vertAlign w:val="baseline"/>
        </w:rPr>
        <w:t>Tabel 1. Tahapan kegiatan dan indikator evaluasi</w:t>
      </w:r>
    </w:p>
    <w:tbl>
      <w:tblPr>
        <w:tblStyle w:val="style4099"/>
        <w:tblW w:w="96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9"/>
        <w:gridCol w:w="2409"/>
        <w:gridCol w:w="2409"/>
        <w:gridCol w:w="2409"/>
      </w:tblGrid>
      <w:tr w14:paraId="87153F14">
        <w:trPr>
          <w:cantSplit w:val="false"/>
          <w:tblHeader w:val="false"/>
          <w:jc w:val="center"/>
        </w:trPr>
        <w:tc>
          <w:tcPr>
            <w:tcW w:w="0" w:type="auto"/>
            <w:tcBorders/>
            <w:shd w:val="clear" w:color="auto" w:fill="f2f2f2"/>
            <w:vAlign w:val="center"/>
          </w:tcPr>
          <w:p w14:paraId="00000016">
            <w:pPr>
              <w:pStyle w:val="style0"/>
              <w:jc w:val="left"/>
              <w:rPr/>
            </w:pPr>
            <w:r>
              <w:rPr>
                <w:b/>
                <w:bCs/>
                <w:sz w:val="20"/>
                <w:szCs w:val="20"/>
              </w:rPr>
              <w:t>Tahap</w:t>
            </w:r>
          </w:p>
        </w:tc>
        <w:tc>
          <w:tcPr>
            <w:tcW w:w="0" w:type="auto"/>
            <w:tcBorders/>
            <w:shd w:val="clear" w:color="auto" w:fill="f2f2f2"/>
            <w:vAlign w:val="center"/>
          </w:tcPr>
          <w:p w14:paraId="00000017">
            <w:pPr>
              <w:pStyle w:val="style0"/>
              <w:jc w:val="left"/>
              <w:rPr/>
            </w:pPr>
            <w:r>
              <w:rPr>
                <w:b/>
                <w:bCs/>
                <w:sz w:val="20"/>
                <w:szCs w:val="20"/>
              </w:rPr>
              <w:t>Aktivitas utama</w:t>
            </w:r>
          </w:p>
        </w:tc>
        <w:tc>
          <w:tcPr>
            <w:tcW w:w="0" w:type="auto"/>
            <w:tcBorders/>
            <w:shd w:val="clear" w:color="auto" w:fill="f2f2f2"/>
            <w:vAlign w:val="center"/>
          </w:tcPr>
          <w:p w14:paraId="00000018">
            <w:pPr>
              <w:pStyle w:val="style0"/>
              <w:jc w:val="left"/>
              <w:rPr/>
            </w:pPr>
            <w:r>
              <w:rPr>
                <w:b/>
                <w:bCs/>
                <w:sz w:val="20"/>
                <w:szCs w:val="20"/>
              </w:rPr>
              <w:t>Indikator</w:t>
            </w:r>
          </w:p>
        </w:tc>
        <w:tc>
          <w:tcPr>
            <w:tcW w:w="0" w:type="auto"/>
            <w:tcBorders/>
            <w:shd w:val="clear" w:color="auto" w:fill="f2f2f2"/>
            <w:vAlign w:val="center"/>
          </w:tcPr>
          <w:p w14:paraId="00000019">
            <w:pPr>
              <w:pStyle w:val="style0"/>
              <w:jc w:val="left"/>
              <w:rPr/>
            </w:pPr>
            <w:r>
              <w:rPr>
                <w:b/>
                <w:bCs/>
                <w:sz w:val="20"/>
                <w:szCs w:val="20"/>
              </w:rPr>
              <w:t>Data yang perlu dicatat</w:t>
            </w:r>
          </w:p>
        </w:tc>
      </w:tr>
      <w:tr w14:paraId="FA648865">
        <w:tblPrEx/>
        <w:trPr>
          <w:cantSplit w:val="false"/>
          <w:tblHeader w:val="false"/>
          <w:jc w:val="center"/>
        </w:trPr>
        <w:tc>
          <w:tcPr>
            <w:tcW w:w="0" w:type="auto"/>
            <w:tcBorders/>
            <w:vAlign w:val="center"/>
          </w:tcPr>
          <w:p w14:paraId="0000001A">
            <w:pPr>
              <w:pStyle w:val="style0"/>
              <w:jc w:val="left"/>
              <w:rPr/>
            </w:pPr>
            <w:r>
              <w:rPr>
                <w:sz w:val="18"/>
                <w:szCs w:val="18"/>
              </w:rPr>
              <w:t>Identifikasi</w:t>
            </w:r>
          </w:p>
        </w:tc>
        <w:tc>
          <w:tcPr>
            <w:tcW w:w="0" w:type="auto"/>
            <w:tcBorders/>
            <w:vAlign w:val="center"/>
          </w:tcPr>
          <w:p w14:paraId="0000001B">
            <w:pPr>
              <w:pStyle w:val="style0"/>
              <w:jc w:val="left"/>
              <w:rPr/>
            </w:pPr>
            <w:r>
              <w:rPr>
                <w:sz w:val="18"/>
                <w:szCs w:val="18"/>
              </w:rPr>
              <w:t>Observasi sekam dan diskusi masalah mitra</w:t>
            </w:r>
          </w:p>
        </w:tc>
        <w:tc>
          <w:tcPr>
            <w:tcW w:w="0" w:type="auto"/>
            <w:tcBorders/>
            <w:vAlign w:val="center"/>
          </w:tcPr>
          <w:p w14:paraId="0000001C">
            <w:pPr>
              <w:pStyle w:val="style0"/>
              <w:jc w:val="left"/>
              <w:rPr/>
            </w:pPr>
            <w:r>
              <w:rPr>
                <w:sz w:val="18"/>
                <w:szCs w:val="18"/>
              </w:rPr>
              <w:t>Potensi bahan dan kebutuhan mitra terpetakan</w:t>
            </w:r>
          </w:p>
        </w:tc>
        <w:tc>
          <w:tcPr>
            <w:tcW w:w="0" w:type="auto"/>
            <w:tcBorders/>
            <w:vAlign w:val="center"/>
          </w:tcPr>
          <w:p w14:paraId="0000001D">
            <w:pPr>
              <w:pStyle w:val="style0"/>
              <w:jc w:val="left"/>
              <w:rPr/>
            </w:pPr>
            <w:r>
              <w:rPr>
                <w:sz w:val="18"/>
                <w:szCs w:val="18"/>
              </w:rPr>
              <w:t>Sumber sekam, pola pemanfaatan, kebutuhan kelompok</w:t>
            </w:r>
          </w:p>
        </w:tc>
      </w:tr>
      <w:tr w14:paraId="97D37788">
        <w:tblPrEx/>
        <w:trPr>
          <w:cantSplit w:val="false"/>
          <w:tblHeader w:val="false"/>
          <w:jc w:val="center"/>
        </w:trPr>
        <w:tc>
          <w:tcPr>
            <w:tcW w:w="0" w:type="auto"/>
            <w:tcBorders/>
            <w:vAlign w:val="center"/>
          </w:tcPr>
          <w:p w14:paraId="0000001E">
            <w:pPr>
              <w:pStyle w:val="style0"/>
              <w:jc w:val="left"/>
              <w:rPr/>
            </w:pPr>
            <w:r>
              <w:rPr>
                <w:sz w:val="18"/>
                <w:szCs w:val="18"/>
              </w:rPr>
              <w:t>Pelatihan briket</w:t>
            </w:r>
          </w:p>
        </w:tc>
        <w:tc>
          <w:tcPr>
            <w:tcW w:w="0" w:type="auto"/>
            <w:tcBorders/>
            <w:vAlign w:val="center"/>
          </w:tcPr>
          <w:p w14:paraId="0000001F">
            <w:pPr>
              <w:pStyle w:val="style0"/>
              <w:jc w:val="left"/>
              <w:rPr/>
            </w:pPr>
            <w:r>
              <w:rPr>
                <w:sz w:val="18"/>
                <w:szCs w:val="18"/>
              </w:rPr>
              <w:t>Demonstrasi dan praktik produksi</w:t>
            </w:r>
          </w:p>
        </w:tc>
        <w:tc>
          <w:tcPr>
            <w:tcW w:w="0" w:type="auto"/>
            <w:tcBorders/>
            <w:vAlign w:val="center"/>
          </w:tcPr>
          <w:p w14:paraId="00000020">
            <w:pPr>
              <w:pStyle w:val="style0"/>
              <w:jc w:val="left"/>
              <w:rPr/>
            </w:pPr>
            <w:r>
              <w:rPr>
                <w:sz w:val="18"/>
                <w:szCs w:val="18"/>
              </w:rPr>
              <w:t>Peserta mampu mengikuti urutan proses</w:t>
            </w:r>
          </w:p>
        </w:tc>
        <w:tc>
          <w:tcPr>
            <w:tcW w:w="0" w:type="auto"/>
            <w:tcBorders/>
            <w:vAlign w:val="center"/>
          </w:tcPr>
          <w:p w14:paraId="00000021">
            <w:pPr>
              <w:pStyle w:val="style0"/>
              <w:jc w:val="left"/>
              <w:rPr/>
            </w:pPr>
            <w:r>
              <w:rPr>
                <w:sz w:val="18"/>
                <w:szCs w:val="18"/>
              </w:rPr>
              <w:t>Jumlah peserta praktik, formula, waktu pengeringan, jumlah produk</w:t>
            </w:r>
          </w:p>
        </w:tc>
      </w:tr>
      <w:tr w14:paraId="68EEE644">
        <w:tblPrEx/>
        <w:trPr>
          <w:cantSplit w:val="false"/>
          <w:tblHeader w:val="false"/>
          <w:jc w:val="center"/>
        </w:trPr>
        <w:tc>
          <w:tcPr>
            <w:tcW w:w="0" w:type="auto"/>
            <w:tcBorders/>
            <w:vAlign w:val="center"/>
          </w:tcPr>
          <w:p w14:paraId="00000022">
            <w:pPr>
              <w:pStyle w:val="style0"/>
              <w:jc w:val="left"/>
              <w:rPr/>
            </w:pPr>
            <w:r>
              <w:rPr>
                <w:sz w:val="18"/>
                <w:szCs w:val="18"/>
              </w:rPr>
              <w:t>Penyusunan BMC</w:t>
            </w:r>
          </w:p>
        </w:tc>
        <w:tc>
          <w:tcPr>
            <w:tcW w:w="0" w:type="auto"/>
            <w:tcBorders/>
            <w:vAlign w:val="center"/>
          </w:tcPr>
          <w:p w14:paraId="00000023">
            <w:pPr>
              <w:pStyle w:val="style0"/>
              <w:jc w:val="left"/>
              <w:rPr/>
            </w:pPr>
            <w:r>
              <w:rPr>
                <w:sz w:val="18"/>
                <w:szCs w:val="18"/>
              </w:rPr>
              <w:t>Diskusi sembilan elemen model bisnis</w:t>
            </w:r>
          </w:p>
        </w:tc>
        <w:tc>
          <w:tcPr>
            <w:tcW w:w="0" w:type="auto"/>
            <w:tcBorders/>
            <w:vAlign w:val="center"/>
          </w:tcPr>
          <w:p w14:paraId="00000024">
            <w:pPr>
              <w:pStyle w:val="style0"/>
              <w:jc w:val="left"/>
              <w:rPr/>
            </w:pPr>
            <w:r>
              <w:rPr>
                <w:sz w:val="18"/>
                <w:szCs w:val="18"/>
              </w:rPr>
              <w:t>Rancangan BMC kelompok tersusun</w:t>
            </w:r>
          </w:p>
        </w:tc>
        <w:tc>
          <w:tcPr>
            <w:tcW w:w="0" w:type="auto"/>
            <w:tcBorders/>
            <w:vAlign w:val="center"/>
          </w:tcPr>
          <w:p w14:paraId="00000025">
            <w:pPr>
              <w:pStyle w:val="style0"/>
              <w:jc w:val="left"/>
              <w:rPr/>
            </w:pPr>
            <w:r>
              <w:rPr>
                <w:sz w:val="18"/>
                <w:szCs w:val="18"/>
              </w:rPr>
              <w:t>Jumlah BMC, kelengkapan 9 elemen, target pelanggan</w:t>
            </w:r>
          </w:p>
        </w:tc>
      </w:tr>
      <w:tr w14:paraId="BD583D06">
        <w:tblPrEx/>
        <w:trPr>
          <w:cantSplit w:val="false"/>
          <w:tblHeader w:val="false"/>
          <w:jc w:val="center"/>
        </w:trPr>
        <w:tc>
          <w:tcPr>
            <w:tcW w:w="0" w:type="auto"/>
            <w:tcBorders/>
            <w:vAlign w:val="center"/>
          </w:tcPr>
          <w:p w14:paraId="00000026">
            <w:pPr>
              <w:pStyle w:val="style0"/>
              <w:jc w:val="left"/>
              <w:rPr/>
            </w:pPr>
            <w:r>
              <w:rPr>
                <w:sz w:val="18"/>
                <w:szCs w:val="18"/>
              </w:rPr>
              <w:t>Evaluasi</w:t>
            </w:r>
          </w:p>
        </w:tc>
        <w:tc>
          <w:tcPr>
            <w:tcW w:w="0" w:type="auto"/>
            <w:tcBorders/>
            <w:vAlign w:val="center"/>
          </w:tcPr>
          <w:p w14:paraId="00000027">
            <w:pPr>
              <w:pStyle w:val="style0"/>
              <w:jc w:val="left"/>
              <w:rPr/>
            </w:pPr>
            <w:r>
              <w:rPr>
                <w:sz w:val="18"/>
                <w:szCs w:val="18"/>
              </w:rPr>
              <w:t>Pre-test/post-test, observasi, umpan balik</w:t>
            </w:r>
          </w:p>
        </w:tc>
        <w:tc>
          <w:tcPr>
            <w:tcW w:w="0" w:type="auto"/>
            <w:tcBorders/>
            <w:vAlign w:val="center"/>
          </w:tcPr>
          <w:p w14:paraId="00000028">
            <w:pPr>
              <w:pStyle w:val="style0"/>
              <w:jc w:val="left"/>
              <w:rPr/>
            </w:pPr>
            <w:r>
              <w:rPr>
                <w:sz w:val="18"/>
                <w:szCs w:val="18"/>
              </w:rPr>
              <w:t>Perubahan pengetahuan dan kesiapan tindak lanjut</w:t>
            </w:r>
          </w:p>
        </w:tc>
        <w:tc>
          <w:tcPr>
            <w:tcW w:w="0" w:type="auto"/>
            <w:tcBorders/>
            <w:vAlign w:val="center"/>
          </w:tcPr>
          <w:p w14:paraId="00000029">
            <w:pPr>
              <w:pStyle w:val="style0"/>
              <w:jc w:val="left"/>
              <w:rPr/>
            </w:pPr>
            <w:r>
              <w:rPr>
                <w:sz w:val="18"/>
                <w:szCs w:val="18"/>
              </w:rPr>
              <w:t>Skor pre/post, respons peserta, rencana produksi lanjutan</w:t>
            </w:r>
          </w:p>
        </w:tc>
      </w:tr>
    </w:tbl>
    <w:p w14:paraId="0000002A">
      <w:pPr>
        <w:pStyle w:val="style1"/>
        <w:tabs>
          <w:tab w:val="left" w:leader="none" w:pos="216"/>
        </w:tabs>
        <w:spacing w:before="160" w:after="200"/>
        <w:jc w:val="left"/>
        <w:rPr/>
      </w:pPr>
      <w:r>
        <w:rPr>
          <w:b/>
          <w:bCs/>
        </w:rPr>
        <w:t>HASIL DAN PEMBAHASAN</w:t>
      </w:r>
    </w:p>
    <w:p w14:paraId="0000002B">
      <w:pPr>
        <w:pStyle w:val="style0"/>
        <w:keepNext w:val="false"/>
        <w:keepLines w:val="false"/>
        <w:pageBreakBefore w:val="false"/>
        <w:widowControl/>
        <w:pBdr>
          <w:left w:val="nil"/>
          <w:right w:val="nil"/>
          <w:top w:val="nil"/>
          <w:bottom w:val="nil"/>
          <w:between w:val="nil"/>
        </w:pBdr>
        <w:shd w:val="clear" w:color="auto" w:fill="auto"/>
        <w:spacing w:before="0" w:after="0" w:lineRule="auto" w:line="480"/>
        <w:ind w:left="0" w:right="0" w:firstLine="567"/>
        <w:jc w:val="both"/>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t>Data pendukung yang tersedia menunjukkan bahwa pengembangan briket sekam padi dalam program KKN dirancang tidak hanya sebagai kegiatan teknis. Buku luaran mahasiswa memuat rangkaian penyiapan bahan, karbonisasi, pembuatan briket, variasi formulasi, pengujian mutu, keselamatan kerja, pemberdayaan masyarakat, manajemen produksi UMKM, branding dan pemasaran, analisis kelayakan usaha, serta model keberlanjutan. Struktur tersebut penting karena memperlihatkan bahwa pemanfaatan limbah sekam membutuhkan keterpaduan antara proses produksi, mutu, keselamatan, organisasi kelompok, dan pasar.</w:t>
      </w:r>
    </w:p>
    <w:p w14:paraId="0000002C">
      <w:pPr>
        <w:pStyle w:val="style0"/>
        <w:jc w:val="center"/>
        <w:rPr/>
      </w:pPr>
      <w:r>
        <w:rPr/>
        <w:drawing>
          <wp:inline distL="0" distT="0" distB="0" distR="0">
            <wp:extent cx="2513618" cy="2080502"/>
            <wp:effectExtent l="0" t="0" r="0" b="0"/>
            <wp:docPr id="1026" name="image2.jp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image2.jpg"/>
                    <pic:cNvPicPr/>
                  </pic:nvPicPr>
                  <pic:blipFill>
                    <a:blip r:embed="rId2" cstate="print"/>
                    <a:srcRect l="0" t="0" r="0" b="0"/>
                    <a:stretch/>
                  </pic:blipFill>
                  <pic:spPr>
                    <a:xfrm rot="0">
                      <a:off x="0" y="0"/>
                      <a:ext cx="2513618" cy="2080502"/>
                    </a:xfrm>
                    <a:prstGeom prst="rect"/>
                    <a:ln cmpd="sng" cap="flat" w="9525">
                      <a:solidFill>
                        <a:srgbClr val="000000"/>
                      </a:solidFill>
                      <a:prstDash val="solid"/>
                      <a:round/>
                      <a:headEnd/>
                      <a:tailEnd/>
                    </a:ln>
                  </pic:spPr>
                </pic:pic>
              </a:graphicData>
            </a:graphic>
          </wp:inline>
        </w:drawing>
      </w:r>
    </w:p>
    <w:p w14:paraId="0000002D">
      <w:pPr>
        <w:pStyle w:val="style0"/>
        <w:keepNext w:val="false"/>
        <w:keepLines w:val="false"/>
        <w:pageBreakBefore w:val="false"/>
        <w:widowControl/>
        <w:pBdr>
          <w:left w:val="nil"/>
          <w:right w:val="nil"/>
          <w:top w:val="nil"/>
          <w:bottom w:val="nil"/>
          <w:between w:val="nil"/>
        </w:pBdr>
        <w:shd w:val="clear" w:color="auto" w:fill="auto"/>
        <w:spacing w:before="0" w:after="240" w:lineRule="auto" w:line="360"/>
        <w:ind w:left="0" w:right="0" w:firstLine="289"/>
        <w:jc w:val="center"/>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pPr>
      <w:r>
        <w:rPr>
          <w:rFonts w:ascii="Times New Roman" w:cs="Times New Roman" w:eastAsia="Times New Roman" w:hAnsi="Times New Roman"/>
          <w:b/>
          <w:bCs/>
          <w:i w:val="false"/>
          <w:iCs w:val="false"/>
          <w:smallCaps w:val="false"/>
          <w:color w:val="000000"/>
          <w:sz w:val="22"/>
          <w:szCs w:val="22"/>
          <w:u w:val="none"/>
          <w:shd w:val="clear" w:color="auto" w:fill="auto"/>
          <w:vertAlign w:val="baseline"/>
        </w:rPr>
        <w:t>Gambar 1. Proses karbonisasi dan pembuatan briket sekam padi</w:t>
      </w:r>
    </w:p>
    <w:p w14:paraId="0000002E">
      <w:pPr>
        <w:pStyle w:val="style0"/>
        <w:keepNext w:val="false"/>
        <w:keepLines w:val="false"/>
        <w:pageBreakBefore w:val="false"/>
        <w:widowControl/>
        <w:pBdr>
          <w:left w:val="nil"/>
          <w:right w:val="nil"/>
          <w:top w:val="nil"/>
          <w:bottom w:val="nil"/>
          <w:between w:val="nil"/>
        </w:pBdr>
        <w:shd w:val="clear" w:color="auto" w:fill="auto"/>
        <w:spacing w:before="0" w:after="0" w:lineRule="auto" w:line="480"/>
        <w:ind w:left="0" w:right="0" w:firstLine="567"/>
        <w:jc w:val="both"/>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t>Pada tahap teknis, peserta diarahkan memahami bahwa karbonisasi berbeda dengan pembakaran sempurna. Suplai oksigen perlu dibatasi agar sekam tidak habis menjadi abu, kemudian arang harus didinginkan secara aman sebelum dipindahkan. Setelah itu arang dicampur dengan perekat kanji secara homogen, dicetak, dan dikeringkan hingga tidak lembap. Pengendalian proses menjadi penting karena kesalahan pengeringan dapat memengaruhi karbonisasi, arang yang terlalu kasar dapat menurunkan kekuatan briket, dan campuran perekat yang tidak homogen dapat menghasilkan bagian rapuh. Literatur terbaru juga memperlihatkan bahwa komposisi bahan, ukuran partikel, jenis perekat, kadar air, dan densitas berpengaruh pada mutu serta karakteristik pembakaran briket (Lubwama dkk., 2024).</w:t>
      </w:r>
    </w:p>
    <w:p w14:paraId="0000002F">
      <w:pPr>
        <w:pStyle w:val="style0"/>
        <w:keepNext w:val="false"/>
        <w:keepLines w:val="false"/>
        <w:pageBreakBefore w:val="false"/>
        <w:widowControl/>
        <w:pBdr>
          <w:left w:val="nil"/>
          <w:right w:val="nil"/>
          <w:top w:val="nil"/>
          <w:bottom w:val="nil"/>
          <w:between w:val="nil"/>
        </w:pBdr>
        <w:shd w:val="clear" w:color="auto" w:fill="auto"/>
        <w:spacing w:before="0" w:after="0" w:lineRule="auto" w:line="480"/>
        <w:ind w:left="0" w:right="0" w:firstLine="567"/>
        <w:jc w:val="both"/>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t>Pelatihan briket berbasis praktik memiliki nilai edukatif yang kuat karena peserta dapat langsung menghubungkan masalah limbah dengan produk yang dapat digunakan. Oktafia dkk. (2024) menunjukkan bahwa pelatihan sekam padi dapat menghasilkan kemampuan masyarakat membuat briket sekaligus memahami pemasaran, sementara Ulva dkk. (2025) dan Ghafarunnisa dkk. (2025) menunjukkan relevansi pengolahan sekam sebagai energi alternatif dan pemberdayaan lokal. Dengan demikian, pelatihan di Jagapura Kidul diarahkan pada dua keluaran sekaligus: keterampilan produksi dan kesadaran bahwa limbah pertanian dapat diperlakukan sebagai sumber daya.</w:t>
      </w:r>
    </w:p>
    <w:p w14:paraId="00000030">
      <w:pPr>
        <w:pStyle w:val="style0"/>
        <w:jc w:val="center"/>
        <w:rPr/>
      </w:pPr>
      <w:r>
        <w:rPr/>
        <w:drawing>
          <wp:inline distL="0" distT="0" distB="0" distR="0">
            <wp:extent cx="3143046" cy="1767840"/>
            <wp:effectExtent l="0" t="0" r="0" b="0"/>
            <wp:docPr id="1027" name="image1.jp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3" cstate="print"/>
                    <a:srcRect l="0" t="0" r="0" b="0"/>
                    <a:stretch/>
                  </pic:blipFill>
                  <pic:spPr>
                    <a:xfrm rot="0">
                      <a:off x="0" y="0"/>
                      <a:ext cx="3143046" cy="1767840"/>
                    </a:xfrm>
                    <a:prstGeom prst="rect"/>
                    <a:ln cmpd="sng" cap="flat" w="9525">
                      <a:solidFill>
                        <a:srgbClr val="000000"/>
                      </a:solidFill>
                      <a:prstDash val="solid"/>
                      <a:round/>
                      <a:headEnd/>
                      <a:tailEnd/>
                    </a:ln>
                  </pic:spPr>
                </pic:pic>
              </a:graphicData>
            </a:graphic>
          </wp:inline>
        </w:drawing>
      </w:r>
    </w:p>
    <w:p w14:paraId="00000031">
      <w:pPr>
        <w:pStyle w:val="style0"/>
        <w:keepNext w:val="false"/>
        <w:keepLines w:val="false"/>
        <w:pageBreakBefore w:val="false"/>
        <w:widowControl/>
        <w:pBdr>
          <w:left w:val="nil"/>
          <w:right w:val="nil"/>
          <w:top w:val="nil"/>
          <w:bottom w:val="nil"/>
          <w:between w:val="nil"/>
        </w:pBdr>
        <w:shd w:val="clear" w:color="auto" w:fill="auto"/>
        <w:spacing w:before="0" w:after="240" w:lineRule="auto" w:line="360"/>
        <w:ind w:left="0" w:right="0" w:firstLine="289"/>
        <w:jc w:val="center"/>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pPr>
      <w:r>
        <w:rPr>
          <w:rFonts w:ascii="Times New Roman" w:cs="Times New Roman" w:eastAsia="Times New Roman" w:hAnsi="Times New Roman"/>
          <w:b/>
          <w:bCs/>
          <w:i w:val="false"/>
          <w:iCs w:val="false"/>
          <w:smallCaps w:val="false"/>
          <w:color w:val="000000"/>
          <w:sz w:val="22"/>
          <w:szCs w:val="22"/>
          <w:u w:val="none"/>
          <w:shd w:val="clear" w:color="auto" w:fill="auto"/>
          <w:vertAlign w:val="baseline"/>
        </w:rPr>
        <w:t>Gambar 2. Pelatihan Business Model Canvas bersama praktisi secara hybrid</w:t>
      </w:r>
    </w:p>
    <w:p w14:paraId="00000032">
      <w:pPr>
        <w:pStyle w:val="style0"/>
        <w:keepNext w:val="false"/>
        <w:keepLines w:val="false"/>
        <w:pageBreakBefore w:val="false"/>
        <w:widowControl/>
        <w:pBdr>
          <w:left w:val="nil"/>
          <w:right w:val="nil"/>
          <w:top w:val="nil"/>
          <w:bottom w:val="nil"/>
          <w:between w:val="nil"/>
        </w:pBdr>
        <w:shd w:val="clear" w:color="auto" w:fill="auto"/>
        <w:spacing w:before="0" w:after="0" w:lineRule="auto" w:line="480"/>
        <w:ind w:left="0" w:right="0" w:firstLine="567"/>
        <w:jc w:val="both"/>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t xml:space="preserve">Bagian kewirausahaan difokuskan pada penyusunan Business Model Canvas agar kelompok mampu melihat hubungan antara produk, konsumen, sumber daya, aktivitas, dan biaya. </w:t>
      </w:r>
    </w:p>
    <w:p w14:paraId="00000033">
      <w:pPr>
        <w:pStyle w:val="style0"/>
        <w:keepNext w:val="false"/>
        <w:keepLines w:val="false"/>
        <w:pageBreakBefore w:val="false"/>
        <w:widowControl/>
        <w:pBdr>
          <w:left w:val="nil"/>
          <w:right w:val="nil"/>
          <w:top w:val="nil"/>
          <w:bottom w:val="nil"/>
          <w:between w:val="nil"/>
        </w:pBdr>
        <w:shd w:val="clear" w:color="auto" w:fill="auto"/>
        <w:spacing w:before="0" w:after="0" w:lineRule="auto" w:line="480"/>
        <w:ind w:left="0" w:right="0" w:firstLine="567"/>
        <w:jc w:val="both"/>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t>Rancangan awal BMC yang sesuai dengan karakter usaha briket sekam padi disajikan pada Tabel 2. Isinya merupakan model awal yang perlu divalidasi melalui survei konsumen, uji mutu produk, dan perhitungan biaya nyata di tingkat kelompok.</w:t>
      </w:r>
    </w:p>
    <w:p w14:paraId="00000034">
      <w:pPr>
        <w:pStyle w:val="style0"/>
        <w:keepNext w:val="false"/>
        <w:keepLines w:val="false"/>
        <w:pageBreakBefore w:val="false"/>
        <w:widowControl/>
        <w:pBdr>
          <w:left w:val="nil"/>
          <w:right w:val="nil"/>
          <w:top w:val="nil"/>
          <w:bottom w:val="nil"/>
          <w:between w:val="nil"/>
        </w:pBdr>
        <w:shd w:val="clear" w:color="auto" w:fill="auto"/>
        <w:spacing w:before="0" w:after="80" w:lineRule="auto" w:line="360"/>
        <w:ind w:left="0" w:right="0" w:firstLine="289"/>
        <w:jc w:val="both"/>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pPr>
      <w:r>
        <w:rPr>
          <w:rFonts w:ascii="Times New Roman" w:cs="Times New Roman" w:eastAsia="Times New Roman" w:hAnsi="Times New Roman"/>
          <w:b/>
          <w:bCs/>
          <w:i w:val="false"/>
          <w:iCs w:val="false"/>
          <w:smallCaps w:val="false"/>
          <w:color w:val="000000"/>
          <w:sz w:val="22"/>
          <w:szCs w:val="22"/>
          <w:u w:val="none"/>
          <w:shd w:val="clear" w:color="auto" w:fill="auto"/>
          <w:vertAlign w:val="baseline"/>
        </w:rPr>
        <w:t>Tabel 2. Rancangan awal Business Model Canvas usaha briket sekam padi</w:t>
      </w:r>
    </w:p>
    <w:tbl>
      <w:tblPr>
        <w:tblStyle w:val="style4100"/>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9"/>
        <w:gridCol w:w="4819"/>
      </w:tblGrid>
      <w:tr w14:paraId="19A92CA0">
        <w:trPr>
          <w:cantSplit w:val="false"/>
          <w:tblHeader w:val="false"/>
          <w:jc w:val="center"/>
        </w:trPr>
        <w:tc>
          <w:tcPr>
            <w:tcW w:w="0" w:type="auto"/>
            <w:tcBorders/>
            <w:shd w:val="clear" w:color="auto" w:fill="f2f2f2"/>
            <w:vAlign w:val="center"/>
          </w:tcPr>
          <w:p w14:paraId="00000035">
            <w:pPr>
              <w:pStyle w:val="style0"/>
              <w:jc w:val="left"/>
              <w:rPr/>
            </w:pPr>
            <w:r>
              <w:rPr>
                <w:b/>
                <w:bCs/>
                <w:sz w:val="20"/>
                <w:szCs w:val="20"/>
              </w:rPr>
              <w:t>Elemen BMC</w:t>
            </w:r>
          </w:p>
        </w:tc>
        <w:tc>
          <w:tcPr>
            <w:tcW w:w="0" w:type="auto"/>
            <w:tcBorders/>
            <w:shd w:val="clear" w:color="auto" w:fill="f2f2f2"/>
            <w:vAlign w:val="center"/>
          </w:tcPr>
          <w:p w14:paraId="00000036">
            <w:pPr>
              <w:pStyle w:val="style0"/>
              <w:jc w:val="left"/>
              <w:rPr/>
            </w:pPr>
            <w:r>
              <w:rPr>
                <w:b/>
                <w:bCs/>
                <w:sz w:val="20"/>
                <w:szCs w:val="20"/>
              </w:rPr>
              <w:t>Rancangan awal</w:t>
            </w:r>
          </w:p>
        </w:tc>
      </w:tr>
      <w:tr w14:paraId="5D3F74C3">
        <w:tblPrEx/>
        <w:trPr>
          <w:cantSplit w:val="false"/>
          <w:tblHeader w:val="false"/>
          <w:jc w:val="center"/>
        </w:trPr>
        <w:tc>
          <w:tcPr>
            <w:tcW w:w="0" w:type="auto"/>
            <w:tcBorders/>
            <w:vAlign w:val="center"/>
          </w:tcPr>
          <w:p w14:paraId="00000037">
            <w:pPr>
              <w:pStyle w:val="style0"/>
              <w:jc w:val="left"/>
              <w:rPr/>
            </w:pPr>
            <w:r>
              <w:rPr>
                <w:b/>
                <w:bCs/>
                <w:sz w:val="18"/>
                <w:szCs w:val="18"/>
              </w:rPr>
              <w:t>Customer Segments</w:t>
            </w:r>
          </w:p>
        </w:tc>
        <w:tc>
          <w:tcPr>
            <w:tcW w:w="0" w:type="auto"/>
            <w:tcBorders/>
            <w:vAlign w:val="center"/>
          </w:tcPr>
          <w:p w14:paraId="00000038">
            <w:pPr>
              <w:pStyle w:val="style0"/>
              <w:jc w:val="left"/>
              <w:rPr/>
            </w:pPr>
            <w:r>
              <w:rPr>
                <w:sz w:val="18"/>
                <w:szCs w:val="18"/>
              </w:rPr>
              <w:t>Rumah tangga tertentu, usaha kuliner, pengguna kegiatan luar ruang, dan calon pembeli lokal yang membutuhkan bahan bakar padat.</w:t>
            </w:r>
          </w:p>
        </w:tc>
      </w:tr>
      <w:tr w14:paraId="76B74E57">
        <w:tblPrEx/>
        <w:trPr>
          <w:cantSplit w:val="false"/>
          <w:tblHeader w:val="false"/>
          <w:jc w:val="center"/>
        </w:trPr>
        <w:tc>
          <w:tcPr>
            <w:tcW w:w="0" w:type="auto"/>
            <w:tcBorders/>
            <w:vAlign w:val="center"/>
          </w:tcPr>
          <w:p w14:paraId="00000039">
            <w:pPr>
              <w:pStyle w:val="style0"/>
              <w:jc w:val="left"/>
              <w:rPr/>
            </w:pPr>
            <w:r>
              <w:rPr>
                <w:b/>
                <w:bCs/>
                <w:sz w:val="18"/>
                <w:szCs w:val="18"/>
              </w:rPr>
              <w:t>Value Propositions</w:t>
            </w:r>
          </w:p>
        </w:tc>
        <w:tc>
          <w:tcPr>
            <w:tcW w:w="0" w:type="auto"/>
            <w:tcBorders/>
            <w:vAlign w:val="center"/>
          </w:tcPr>
          <w:p w14:paraId="0000003A">
            <w:pPr>
              <w:pStyle w:val="style0"/>
              <w:jc w:val="left"/>
              <w:rPr/>
            </w:pPr>
            <w:r>
              <w:rPr>
                <w:sz w:val="18"/>
                <w:szCs w:val="18"/>
              </w:rPr>
              <w:t>Pemanfaatan limbah sekam menjadi bahan bakar alternatif, bahan baku lokal, produk mudah disimpan, serta potensi pengurangan pembakaran terbuka sekam.</w:t>
            </w:r>
          </w:p>
        </w:tc>
      </w:tr>
      <w:tr w14:paraId="09AB6FF3">
        <w:tblPrEx/>
        <w:trPr>
          <w:cantSplit w:val="false"/>
          <w:tblHeader w:val="false"/>
          <w:jc w:val="center"/>
        </w:trPr>
        <w:tc>
          <w:tcPr>
            <w:tcW w:w="0" w:type="auto"/>
            <w:tcBorders/>
            <w:vAlign w:val="center"/>
          </w:tcPr>
          <w:p w14:paraId="0000003B">
            <w:pPr>
              <w:pStyle w:val="style0"/>
              <w:jc w:val="left"/>
              <w:rPr/>
            </w:pPr>
            <w:r>
              <w:rPr>
                <w:b/>
                <w:bCs/>
                <w:sz w:val="18"/>
                <w:szCs w:val="18"/>
              </w:rPr>
              <w:t>Channels</w:t>
            </w:r>
          </w:p>
        </w:tc>
        <w:tc>
          <w:tcPr>
            <w:tcW w:w="0" w:type="auto"/>
            <w:tcBorders/>
            <w:vAlign w:val="center"/>
          </w:tcPr>
          <w:p w14:paraId="0000003C">
            <w:pPr>
              <w:pStyle w:val="style0"/>
              <w:jc w:val="left"/>
              <w:rPr/>
            </w:pPr>
            <w:r>
              <w:rPr>
                <w:sz w:val="18"/>
                <w:szCs w:val="18"/>
              </w:rPr>
              <w:t>Penjualan langsung, jejaring desa, WhatsApp, media sosial, kerja sama dengan usaha kuliner, dan kegiatan pameran desa.</w:t>
            </w:r>
          </w:p>
        </w:tc>
      </w:tr>
      <w:tr w14:paraId="51849FC6">
        <w:tblPrEx/>
        <w:trPr>
          <w:cantSplit w:val="false"/>
          <w:tblHeader w:val="false"/>
          <w:jc w:val="center"/>
        </w:trPr>
        <w:tc>
          <w:tcPr>
            <w:tcW w:w="0" w:type="auto"/>
            <w:tcBorders/>
            <w:vAlign w:val="center"/>
          </w:tcPr>
          <w:p w14:paraId="0000003D">
            <w:pPr>
              <w:pStyle w:val="style0"/>
              <w:jc w:val="left"/>
              <w:rPr/>
            </w:pPr>
            <w:r>
              <w:rPr>
                <w:b/>
                <w:bCs/>
                <w:sz w:val="18"/>
                <w:szCs w:val="18"/>
              </w:rPr>
              <w:t>Customer Relationships</w:t>
            </w:r>
          </w:p>
        </w:tc>
        <w:tc>
          <w:tcPr>
            <w:tcW w:w="0" w:type="auto"/>
            <w:tcBorders/>
            <w:vAlign w:val="center"/>
          </w:tcPr>
          <w:p w14:paraId="0000003E">
            <w:pPr>
              <w:pStyle w:val="style0"/>
              <w:jc w:val="left"/>
              <w:rPr/>
            </w:pPr>
            <w:r>
              <w:rPr>
                <w:sz w:val="18"/>
                <w:szCs w:val="18"/>
              </w:rPr>
              <w:t>Demonstrasi penggunaan, edukasi cara penyalaan dan keselamatan, komunikasi langsung, serta layanan pemesanan ulang.</w:t>
            </w:r>
          </w:p>
        </w:tc>
      </w:tr>
      <w:tr w14:paraId="95EF5E3E">
        <w:tblPrEx/>
        <w:trPr>
          <w:cantSplit w:val="false"/>
          <w:tblHeader w:val="false"/>
          <w:jc w:val="center"/>
        </w:trPr>
        <w:tc>
          <w:tcPr>
            <w:tcW w:w="0" w:type="auto"/>
            <w:tcBorders/>
            <w:vAlign w:val="center"/>
          </w:tcPr>
          <w:p w14:paraId="0000003F">
            <w:pPr>
              <w:pStyle w:val="style0"/>
              <w:jc w:val="left"/>
              <w:rPr/>
            </w:pPr>
            <w:r>
              <w:rPr>
                <w:b/>
                <w:bCs/>
                <w:sz w:val="18"/>
                <w:szCs w:val="18"/>
              </w:rPr>
              <w:t>Revenue Streams</w:t>
            </w:r>
          </w:p>
        </w:tc>
        <w:tc>
          <w:tcPr>
            <w:tcW w:w="0" w:type="auto"/>
            <w:tcBorders/>
            <w:vAlign w:val="center"/>
          </w:tcPr>
          <w:p w14:paraId="00000040">
            <w:pPr>
              <w:pStyle w:val="style0"/>
              <w:jc w:val="left"/>
              <w:rPr/>
            </w:pPr>
            <w:r>
              <w:rPr>
                <w:sz w:val="18"/>
                <w:szCs w:val="18"/>
              </w:rPr>
              <w:t>Penjualan briket eceran dan paket, penjualan grosir kepada mitra usaha, serta peluang produk turunan setelah mutu stabil.</w:t>
            </w:r>
          </w:p>
        </w:tc>
      </w:tr>
      <w:tr w14:paraId="81BA334F">
        <w:tblPrEx/>
        <w:trPr>
          <w:cantSplit w:val="false"/>
          <w:tblHeader w:val="false"/>
          <w:jc w:val="center"/>
        </w:trPr>
        <w:tc>
          <w:tcPr>
            <w:tcW w:w="0" w:type="auto"/>
            <w:tcBorders/>
            <w:vAlign w:val="center"/>
          </w:tcPr>
          <w:p w14:paraId="00000041">
            <w:pPr>
              <w:pStyle w:val="style0"/>
              <w:jc w:val="left"/>
              <w:rPr/>
            </w:pPr>
            <w:r>
              <w:rPr>
                <w:b/>
                <w:bCs/>
                <w:sz w:val="18"/>
                <w:szCs w:val="18"/>
              </w:rPr>
              <w:t>Key Resources</w:t>
            </w:r>
          </w:p>
        </w:tc>
        <w:tc>
          <w:tcPr>
            <w:tcW w:w="0" w:type="auto"/>
            <w:tcBorders/>
            <w:vAlign w:val="center"/>
          </w:tcPr>
          <w:p w14:paraId="00000042">
            <w:pPr>
              <w:pStyle w:val="style0"/>
              <w:jc w:val="left"/>
              <w:rPr/>
            </w:pPr>
            <w:r>
              <w:rPr>
                <w:sz w:val="18"/>
                <w:szCs w:val="18"/>
              </w:rPr>
              <w:t>Sekam padi, alat karbonisasi, alat penghancur/ayak, perekat, cetakan, area pengeringan, kemasan, dan tenaga kelompok.</w:t>
            </w:r>
          </w:p>
        </w:tc>
      </w:tr>
      <w:tr w14:paraId="D5CB356F">
        <w:tblPrEx/>
        <w:trPr>
          <w:cantSplit w:val="false"/>
          <w:tblHeader w:val="false"/>
          <w:jc w:val="center"/>
        </w:trPr>
        <w:tc>
          <w:tcPr>
            <w:tcW w:w="0" w:type="auto"/>
            <w:tcBorders/>
            <w:vAlign w:val="center"/>
          </w:tcPr>
          <w:p w14:paraId="00000043">
            <w:pPr>
              <w:pStyle w:val="style0"/>
              <w:jc w:val="left"/>
              <w:rPr/>
            </w:pPr>
            <w:r>
              <w:rPr>
                <w:b/>
                <w:bCs/>
                <w:sz w:val="18"/>
                <w:szCs w:val="18"/>
              </w:rPr>
              <w:t>Key Activities</w:t>
            </w:r>
          </w:p>
        </w:tc>
        <w:tc>
          <w:tcPr>
            <w:tcW w:w="0" w:type="auto"/>
            <w:tcBorders/>
            <w:vAlign w:val="center"/>
          </w:tcPr>
          <w:p w14:paraId="00000044">
            <w:pPr>
              <w:pStyle w:val="style0"/>
              <w:jc w:val="left"/>
              <w:rPr/>
            </w:pPr>
            <w:r>
              <w:rPr>
                <w:sz w:val="18"/>
                <w:szCs w:val="18"/>
              </w:rPr>
              <w:t>Pengumpulan bahan, karbonisasi, pencampuran, pencetakan, pengeringan, kontrol mutu, pengemasan, pencatatan biaya, dan pemasaran.</w:t>
            </w:r>
          </w:p>
        </w:tc>
      </w:tr>
      <w:tr w14:paraId="2017556E">
        <w:tblPrEx/>
        <w:trPr>
          <w:cantSplit w:val="false"/>
          <w:tblHeader w:val="false"/>
          <w:jc w:val="center"/>
        </w:trPr>
        <w:tc>
          <w:tcPr>
            <w:tcW w:w="0" w:type="auto"/>
            <w:tcBorders/>
            <w:vAlign w:val="center"/>
          </w:tcPr>
          <w:p w14:paraId="00000045">
            <w:pPr>
              <w:pStyle w:val="style0"/>
              <w:jc w:val="left"/>
              <w:rPr/>
            </w:pPr>
            <w:r>
              <w:rPr>
                <w:b/>
                <w:bCs/>
                <w:sz w:val="18"/>
                <w:szCs w:val="18"/>
              </w:rPr>
              <w:t>Key Partners</w:t>
            </w:r>
          </w:p>
        </w:tc>
        <w:tc>
          <w:tcPr>
            <w:tcW w:w="0" w:type="auto"/>
            <w:tcBorders/>
            <w:vAlign w:val="center"/>
          </w:tcPr>
          <w:p w14:paraId="00000046">
            <w:pPr>
              <w:pStyle w:val="style0"/>
              <w:jc w:val="left"/>
              <w:rPr/>
            </w:pPr>
            <w:r>
              <w:rPr>
                <w:sz w:val="18"/>
                <w:szCs w:val="18"/>
              </w:rPr>
              <w:t>Penggilingan padi, kelompok tani, pemerintah desa, perguruan tinggi, UMKM kuliner, pemasok kemasan, dan calon distributor.</w:t>
            </w:r>
          </w:p>
        </w:tc>
      </w:tr>
      <w:tr w14:paraId="403FA168">
        <w:tblPrEx/>
        <w:trPr>
          <w:cantSplit w:val="false"/>
          <w:tblHeader w:val="false"/>
          <w:jc w:val="center"/>
        </w:trPr>
        <w:tc>
          <w:tcPr>
            <w:tcW w:w="0" w:type="auto"/>
            <w:tcBorders/>
            <w:vAlign w:val="center"/>
          </w:tcPr>
          <w:p w14:paraId="00000047">
            <w:pPr>
              <w:pStyle w:val="style0"/>
              <w:jc w:val="left"/>
              <w:rPr/>
            </w:pPr>
            <w:r>
              <w:rPr>
                <w:b/>
                <w:bCs/>
                <w:sz w:val="18"/>
                <w:szCs w:val="18"/>
              </w:rPr>
              <w:t>Cost Structure</w:t>
            </w:r>
          </w:p>
        </w:tc>
        <w:tc>
          <w:tcPr>
            <w:tcW w:w="0" w:type="auto"/>
            <w:tcBorders/>
            <w:vAlign w:val="center"/>
          </w:tcPr>
          <w:p w14:paraId="00000048">
            <w:pPr>
              <w:pStyle w:val="style0"/>
              <w:jc w:val="left"/>
              <w:rPr/>
            </w:pPr>
            <w:r>
              <w:rPr>
                <w:sz w:val="18"/>
                <w:szCs w:val="18"/>
              </w:rPr>
              <w:t>Transportasi bahan, perekat, energi proses, kemasan, pemeliharaan alat, penyusutan peralatan, tenaga kerja, dan promosi.</w:t>
            </w:r>
          </w:p>
        </w:tc>
      </w:tr>
    </w:tbl>
    <w:p w14:paraId="00000049">
      <w:pPr>
        <w:pStyle w:val="style0"/>
        <w:keepNext w:val="false"/>
        <w:keepLines w:val="false"/>
        <w:pageBreakBefore w:val="false"/>
        <w:widowControl/>
        <w:pBdr>
          <w:left w:val="nil"/>
          <w:right w:val="nil"/>
          <w:top w:val="nil"/>
          <w:bottom w:val="nil"/>
          <w:between w:val="nil"/>
        </w:pBdr>
        <w:shd w:val="clear" w:color="auto" w:fill="auto"/>
        <w:spacing w:before="0" w:after="0" w:lineRule="auto" w:line="480"/>
        <w:ind w:left="0" w:right="0" w:firstLine="567"/>
        <w:jc w:val="both"/>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t>Rancangan BMC tersebut menegaskan bahwa kemandirian ekonomi tidak hanya ditentukan oleh kemampuan menghasilkan briket. Kelompok perlu memastikan pelanggan yang benar-benar membutuhkan produk, mutu yang konsisten, harga yang menutup seluruh biaya, serta kanal penjualan yang realistis. Buku luaran KKN juga menekankan biaya yang sering terlewat seperti transportasi, pengeringan, pemeliharaan cetakan, dan waktu kerja. Pencatatan biaya yang lengkap diperlukan agar harga jual tidak ditentukan secara intuitif dan kelompok dapat menghindari kerugian.</w:t>
      </w:r>
    </w:p>
    <w:p w14:paraId="0000004A">
      <w:pPr>
        <w:pStyle w:val="style0"/>
        <w:keepNext w:val="false"/>
        <w:keepLines w:val="false"/>
        <w:pageBreakBefore w:val="false"/>
        <w:widowControl/>
        <w:pBdr>
          <w:left w:val="nil"/>
          <w:right w:val="nil"/>
          <w:top w:val="nil"/>
          <w:bottom w:val="nil"/>
          <w:between w:val="nil"/>
        </w:pBdr>
        <w:shd w:val="clear" w:color="auto" w:fill="auto"/>
        <w:spacing w:before="0" w:after="0" w:lineRule="auto" w:line="480"/>
        <w:ind w:left="0" w:right="0" w:firstLine="567"/>
        <w:jc w:val="both"/>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t>Hasil program BMC sebaiknya diukur melalui kemampuan peserta melengkapi sembilan elemen secara konsisten dan menghubungkan antar-elemen. Rahmat dan Darni (2024) menunjukkan bahwa pelatihan BMC yang menggunakan pre-test dan post-test dapat menghasilkan peningkatan pemahaman yang terukur, sedangkan Hermawati dan Ekawarti (2024) menekankan fungsi pendampingan BMC untuk membantu usaha mikro menembus pasar yang lebih luas. Wisnubroto dan Yulianto (2024) juga menunjukkan bahwa BMC dapat digunakan dalam pendampingan pengembangan UMKM untuk memperjelas arah bisnis. Oleh karena itu, evaluasi kegiatan Jagapura Kidul sebaiknya tidak hanya menanyakan kepuasan peserta, tetapi juga menilai kualitas rancangan model bisnis dan kesiapan menjalankan produksi.</w:t>
      </w:r>
    </w:p>
    <w:p w14:paraId="0000004B">
      <w:pPr>
        <w:pStyle w:val="style0"/>
        <w:keepNext w:val="false"/>
        <w:keepLines w:val="false"/>
        <w:pageBreakBefore w:val="false"/>
        <w:widowControl/>
        <w:pBdr>
          <w:left w:val="nil"/>
          <w:right w:val="nil"/>
          <w:top w:val="nil"/>
          <w:bottom w:val="nil"/>
          <w:between w:val="nil"/>
        </w:pBdr>
        <w:shd w:val="clear" w:color="auto" w:fill="auto"/>
        <w:spacing w:before="0" w:after="0" w:lineRule="auto" w:line="480"/>
        <w:ind w:left="0" w:right="0" w:firstLine="567"/>
        <w:jc w:val="both"/>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t>Untuk menjaga validitas artikel, hasil kuantitatif aktual dimasukkan dari catatan kegiatan sebagaimana disajikan pada Tabel 3.</w:t>
      </w:r>
    </w:p>
    <w:p w14:paraId="0000004C">
      <w:pPr>
        <w:pStyle w:val="style0"/>
        <w:keepNext w:val="false"/>
        <w:keepLines w:val="false"/>
        <w:pageBreakBefore w:val="false"/>
        <w:widowControl/>
        <w:pBdr>
          <w:left w:val="nil"/>
          <w:right w:val="nil"/>
          <w:top w:val="nil"/>
          <w:bottom w:val="nil"/>
          <w:between w:val="nil"/>
        </w:pBdr>
        <w:shd w:val="clear" w:color="auto" w:fill="auto"/>
        <w:spacing w:before="0" w:after="80" w:lineRule="auto" w:line="360"/>
        <w:ind w:left="0" w:right="0" w:firstLine="289"/>
        <w:jc w:val="both"/>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pPr>
      <w:r>
        <w:rPr>
          <w:rFonts w:ascii="Times New Roman" w:cs="Times New Roman" w:eastAsia="Times New Roman" w:hAnsi="Times New Roman"/>
          <w:b/>
          <w:bCs/>
          <w:i w:val="false"/>
          <w:iCs w:val="false"/>
          <w:smallCaps w:val="false"/>
          <w:color w:val="000000"/>
          <w:sz w:val="22"/>
          <w:szCs w:val="22"/>
          <w:u w:val="none"/>
          <w:shd w:val="clear" w:color="auto" w:fill="auto"/>
          <w:vertAlign w:val="baseline"/>
        </w:rPr>
        <w:t>Tabel 3. Ringkasan hasil evaluasi kegiatan</w:t>
      </w:r>
    </w:p>
    <w:tbl>
      <w:tblPr>
        <w:tblStyle w:val="style4101"/>
        <w:tblW w:w="64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42"/>
        <w:gridCol w:w="2142"/>
        <w:gridCol w:w="2142"/>
      </w:tblGrid>
      <w:tr w14:paraId="5E36947F">
        <w:trPr>
          <w:cantSplit w:val="false"/>
          <w:tblHeader w:val="false"/>
          <w:jc w:val="center"/>
        </w:trPr>
        <w:tc>
          <w:tcPr>
            <w:tcW w:w="0" w:type="auto"/>
            <w:tcBorders/>
            <w:shd w:val="clear" w:color="auto" w:fill="f2f2f2"/>
            <w:vAlign w:val="center"/>
          </w:tcPr>
          <w:p w14:paraId="0000004D">
            <w:pPr>
              <w:pStyle w:val="style0"/>
              <w:jc w:val="left"/>
              <w:rPr/>
            </w:pPr>
            <w:r>
              <w:rPr>
                <w:b/>
                <w:bCs/>
                <w:sz w:val="20"/>
                <w:szCs w:val="20"/>
              </w:rPr>
              <w:t>Indikator</w:t>
            </w:r>
          </w:p>
        </w:tc>
        <w:tc>
          <w:tcPr>
            <w:tcW w:w="0" w:type="auto"/>
            <w:tcBorders/>
            <w:shd w:val="clear" w:color="auto" w:fill="f2f2f2"/>
            <w:vAlign w:val="center"/>
          </w:tcPr>
          <w:p w14:paraId="0000004E">
            <w:pPr>
              <w:pStyle w:val="style0"/>
              <w:jc w:val="left"/>
              <w:rPr/>
            </w:pPr>
            <w:r>
              <w:rPr>
                <w:b/>
                <w:bCs/>
                <w:sz w:val="20"/>
                <w:szCs w:val="20"/>
              </w:rPr>
              <w:t>Interpretasi</w:t>
            </w:r>
          </w:p>
        </w:tc>
        <w:tc>
          <w:tcPr>
            <w:tcW w:w="0" w:type="auto"/>
            <w:tcBorders/>
            <w:shd w:val="clear" w:color="auto" w:fill="f2f2f2"/>
            <w:vAlign w:val="center"/>
          </w:tcPr>
          <w:p w14:paraId="0000004F">
            <w:pPr>
              <w:pStyle w:val="style0"/>
              <w:jc w:val="left"/>
              <w:rPr/>
            </w:pPr>
            <w:r>
              <w:rPr>
                <w:b/>
                <w:bCs/>
                <w:sz w:val="20"/>
                <w:szCs w:val="20"/>
              </w:rPr>
              <w:t>Data Aktual</w:t>
            </w:r>
          </w:p>
        </w:tc>
      </w:tr>
      <w:tr w14:paraId="6DE0BBC1">
        <w:tblPrEx/>
        <w:trPr>
          <w:cantSplit w:val="false"/>
          <w:tblHeader w:val="false"/>
          <w:jc w:val="center"/>
        </w:trPr>
        <w:tc>
          <w:tcPr>
            <w:tcW w:w="0" w:type="auto"/>
            <w:tcBorders/>
            <w:vAlign w:val="center"/>
          </w:tcPr>
          <w:p w14:paraId="00000050">
            <w:pPr>
              <w:pStyle w:val="style0"/>
              <w:jc w:val="left"/>
              <w:rPr/>
            </w:pPr>
            <w:r>
              <w:rPr>
                <w:sz w:val="18"/>
                <w:szCs w:val="18"/>
              </w:rPr>
              <w:t>Jumlah peserta</w:t>
            </w:r>
          </w:p>
        </w:tc>
        <w:tc>
          <w:tcPr>
            <w:tcW w:w="0" w:type="auto"/>
            <w:tcBorders/>
            <w:vAlign w:val="center"/>
          </w:tcPr>
          <w:p w14:paraId="00000051">
            <w:pPr>
              <w:pStyle w:val="style0"/>
              <w:jc w:val="left"/>
              <w:rPr/>
            </w:pPr>
            <w:r>
              <w:rPr>
                <w:sz w:val="18"/>
                <w:szCs w:val="18"/>
              </w:rPr>
              <w:t>Menunjukkan jangkauan kegiatan</w:t>
            </w:r>
          </w:p>
        </w:tc>
        <w:tc>
          <w:tcPr>
            <w:tcW w:w="0" w:type="auto"/>
            <w:tcBorders/>
            <w:vAlign w:val="center"/>
          </w:tcPr>
          <w:p w14:paraId="00000052">
            <w:pPr>
              <w:pStyle w:val="style0"/>
              <w:jc w:val="left"/>
              <w:rPr/>
            </w:pPr>
            <w:r>
              <w:rPr>
                <w:sz w:val="18"/>
                <w:szCs w:val="18"/>
              </w:rPr>
              <w:t>Sosialisasi: 25 orang; Workshop BMC: 9 orang</w:t>
            </w:r>
          </w:p>
        </w:tc>
      </w:tr>
      <w:tr w14:paraId="62DB19CC">
        <w:tblPrEx/>
        <w:trPr>
          <w:cantSplit w:val="false"/>
          <w:tblHeader w:val="false"/>
          <w:jc w:val="center"/>
        </w:trPr>
        <w:tc>
          <w:tcPr>
            <w:tcW w:w="0" w:type="auto"/>
            <w:tcBorders/>
            <w:vAlign w:val="center"/>
          </w:tcPr>
          <w:p w14:paraId="00000053">
            <w:pPr>
              <w:pStyle w:val="style0"/>
              <w:jc w:val="left"/>
              <w:rPr/>
            </w:pPr>
            <w:r>
              <w:rPr>
                <w:sz w:val="18"/>
                <w:szCs w:val="18"/>
              </w:rPr>
              <w:t>Skor pengetahuan awal</w:t>
            </w:r>
          </w:p>
        </w:tc>
        <w:tc>
          <w:tcPr>
            <w:tcW w:w="0" w:type="auto"/>
            <w:tcBorders/>
            <w:vAlign w:val="center"/>
          </w:tcPr>
          <w:p w14:paraId="00000054">
            <w:pPr>
              <w:pStyle w:val="style0"/>
              <w:jc w:val="left"/>
              <w:rPr/>
            </w:pPr>
            <w:r>
              <w:rPr>
                <w:sz w:val="18"/>
                <w:szCs w:val="18"/>
              </w:rPr>
              <w:t>Baseline pemahaman briket dan BMC</w:t>
            </w:r>
          </w:p>
        </w:tc>
        <w:tc>
          <w:tcPr>
            <w:tcW w:w="0" w:type="auto"/>
            <w:tcBorders/>
            <w:vAlign w:val="center"/>
          </w:tcPr>
          <w:p w14:paraId="00000055">
            <w:pPr>
              <w:pStyle w:val="style0"/>
              <w:jc w:val="left"/>
              <w:rPr/>
            </w:pPr>
            <w:r>
              <w:rPr>
                <w:sz w:val="18"/>
                <w:szCs w:val="18"/>
              </w:rPr>
              <w:t>Rata-rata 63,0 (rentang 30–100)</w:t>
            </w:r>
          </w:p>
        </w:tc>
      </w:tr>
      <w:tr w14:paraId="2F0A150F">
        <w:tblPrEx/>
        <w:trPr>
          <w:cantSplit w:val="false"/>
          <w:tblHeader w:val="false"/>
          <w:jc w:val="center"/>
        </w:trPr>
        <w:tc>
          <w:tcPr>
            <w:tcW w:w="0" w:type="auto"/>
            <w:tcBorders/>
            <w:vAlign w:val="center"/>
          </w:tcPr>
          <w:p w14:paraId="00000056">
            <w:pPr>
              <w:pStyle w:val="style0"/>
              <w:jc w:val="left"/>
              <w:rPr/>
            </w:pPr>
            <w:r>
              <w:rPr>
                <w:sz w:val="18"/>
                <w:szCs w:val="18"/>
              </w:rPr>
              <w:t>Skor pengetahuan akhir</w:t>
            </w:r>
          </w:p>
        </w:tc>
        <w:tc>
          <w:tcPr>
            <w:tcW w:w="0" w:type="auto"/>
            <w:tcBorders/>
            <w:vAlign w:val="center"/>
          </w:tcPr>
          <w:p w14:paraId="00000057">
            <w:pPr>
              <w:pStyle w:val="style0"/>
              <w:jc w:val="left"/>
              <w:rPr/>
            </w:pPr>
            <w:r>
              <w:rPr>
                <w:sz w:val="18"/>
                <w:szCs w:val="18"/>
              </w:rPr>
              <w:t>Perubahan pemahaman setelah pelatihan</w:t>
            </w:r>
          </w:p>
        </w:tc>
        <w:tc>
          <w:tcPr>
            <w:tcW w:w="0" w:type="auto"/>
            <w:tcBorders/>
            <w:vAlign w:val="center"/>
          </w:tcPr>
          <w:p w14:paraId="00000058">
            <w:pPr>
              <w:pStyle w:val="style0"/>
              <w:jc w:val="left"/>
              <w:rPr/>
            </w:pPr>
            <w:r>
              <w:rPr>
                <w:sz w:val="18"/>
                <w:szCs w:val="18"/>
              </w:rPr>
              <w:t>Rata-rata 72,0 (rentang 50–100)</w:t>
            </w:r>
          </w:p>
        </w:tc>
      </w:tr>
      <w:tr w14:paraId="2685C982">
        <w:tblPrEx/>
        <w:trPr>
          <w:cantSplit w:val="false"/>
          <w:tblHeader w:val="false"/>
          <w:jc w:val="center"/>
        </w:trPr>
        <w:tc>
          <w:tcPr>
            <w:tcW w:w="0" w:type="auto"/>
            <w:tcBorders/>
            <w:vAlign w:val="center"/>
          </w:tcPr>
          <w:p w14:paraId="00000059">
            <w:pPr>
              <w:pStyle w:val="style0"/>
              <w:jc w:val="left"/>
              <w:rPr/>
            </w:pPr>
            <w:r>
              <w:rPr>
                <w:sz w:val="18"/>
                <w:szCs w:val="18"/>
              </w:rPr>
              <w:t>Prototipe briket</w:t>
            </w:r>
          </w:p>
        </w:tc>
        <w:tc>
          <w:tcPr>
            <w:tcW w:w="0" w:type="auto"/>
            <w:tcBorders/>
            <w:vAlign w:val="center"/>
          </w:tcPr>
          <w:p w14:paraId="0000005A">
            <w:pPr>
              <w:pStyle w:val="style0"/>
              <w:jc w:val="left"/>
              <w:rPr/>
            </w:pPr>
            <w:r>
              <w:rPr>
                <w:sz w:val="18"/>
                <w:szCs w:val="18"/>
              </w:rPr>
              <w:t>Bukti keterampilan praktik</w:t>
            </w:r>
          </w:p>
        </w:tc>
        <w:tc>
          <w:tcPr>
            <w:tcW w:w="0" w:type="auto"/>
            <w:tcBorders/>
            <w:vAlign w:val="center"/>
          </w:tcPr>
          <w:p w14:paraId="0000005B">
            <w:pPr>
              <w:pStyle w:val="style0"/>
              <w:jc w:val="left"/>
              <w:rPr/>
            </w:pPr>
            <w:r>
              <w:rPr>
                <w:sz w:val="18"/>
                <w:szCs w:val="18"/>
              </w:rPr>
              <w:t>Terbukti ada (dokumentasi Gambar 1. Proses karbonisasi dan pembuatan briket sekam padi)</w:t>
            </w:r>
          </w:p>
        </w:tc>
      </w:tr>
      <w:tr w14:paraId="F776E53D">
        <w:tblPrEx/>
        <w:trPr>
          <w:cantSplit w:val="false"/>
          <w:tblHeader w:val="false"/>
          <w:jc w:val="center"/>
        </w:trPr>
        <w:tc>
          <w:tcPr>
            <w:tcW w:w="0" w:type="auto"/>
            <w:tcBorders/>
            <w:vAlign w:val="center"/>
          </w:tcPr>
          <w:p w14:paraId="0000005C">
            <w:pPr>
              <w:pStyle w:val="style0"/>
              <w:jc w:val="left"/>
              <w:rPr/>
            </w:pPr>
            <w:r>
              <w:rPr>
                <w:sz w:val="18"/>
                <w:szCs w:val="18"/>
              </w:rPr>
              <w:t>Rancangan BMC</w:t>
            </w:r>
          </w:p>
        </w:tc>
        <w:tc>
          <w:tcPr>
            <w:tcW w:w="0" w:type="auto"/>
            <w:tcBorders/>
            <w:vAlign w:val="center"/>
          </w:tcPr>
          <w:p w14:paraId="0000005D">
            <w:pPr>
              <w:pStyle w:val="style0"/>
              <w:jc w:val="left"/>
              <w:rPr/>
            </w:pPr>
            <w:r>
              <w:rPr>
                <w:sz w:val="18"/>
                <w:szCs w:val="18"/>
              </w:rPr>
              <w:t>Bukti kemampuan menyusun model usaha</w:t>
            </w:r>
          </w:p>
        </w:tc>
        <w:tc>
          <w:tcPr>
            <w:tcW w:w="0" w:type="auto"/>
            <w:tcBorders/>
            <w:vAlign w:val="center"/>
          </w:tcPr>
          <w:p w14:paraId="0000005E">
            <w:pPr>
              <w:pStyle w:val="style0"/>
              <w:jc w:val="left"/>
              <w:rPr/>
            </w:pPr>
            <w:r>
              <w:rPr>
                <w:sz w:val="18"/>
                <w:szCs w:val="18"/>
              </w:rPr>
              <w:t>40% peserta mampu mandiri, 40% perlu pendampingan, 20% perlu bimbingan (berdasarkan post-test)</w:t>
            </w:r>
          </w:p>
        </w:tc>
      </w:tr>
      <w:tr w14:paraId="AA752AF7">
        <w:tblPrEx/>
        <w:trPr>
          <w:cantSplit w:val="false"/>
          <w:tblHeader w:val="false"/>
          <w:jc w:val="center"/>
        </w:trPr>
        <w:tc>
          <w:tcPr>
            <w:tcW w:w="0" w:type="auto"/>
            <w:tcBorders/>
            <w:vAlign w:val="center"/>
          </w:tcPr>
          <w:p w14:paraId="0000005F">
            <w:pPr>
              <w:pStyle w:val="style0"/>
              <w:jc w:val="left"/>
              <w:rPr/>
            </w:pPr>
            <w:r>
              <w:rPr>
                <w:sz w:val="18"/>
                <w:szCs w:val="18"/>
              </w:rPr>
              <w:t>Rencana tindak lanjut</w:t>
            </w:r>
          </w:p>
        </w:tc>
        <w:tc>
          <w:tcPr>
            <w:tcW w:w="0" w:type="auto"/>
            <w:tcBorders/>
            <w:vAlign w:val="center"/>
          </w:tcPr>
          <w:p w14:paraId="00000060">
            <w:pPr>
              <w:pStyle w:val="style0"/>
              <w:jc w:val="left"/>
              <w:rPr/>
            </w:pPr>
            <w:r>
              <w:rPr>
                <w:sz w:val="18"/>
                <w:szCs w:val="18"/>
              </w:rPr>
              <w:t>Indikator peluang keberlanjutan</w:t>
            </w:r>
          </w:p>
        </w:tc>
        <w:tc>
          <w:tcPr>
            <w:tcW w:w="0" w:type="auto"/>
            <w:tcBorders/>
            <w:vAlign w:val="center"/>
          </w:tcPr>
          <w:p w14:paraId="00000061">
            <w:pPr>
              <w:pStyle w:val="style0"/>
              <w:jc w:val="left"/>
              <w:rPr/>
            </w:pPr>
            <w:r>
              <w:rPr>
                <w:sz w:val="18"/>
                <w:szCs w:val="18"/>
              </w:rPr>
              <w:t>Pendampingan lanjutan oleh tim KKN dan perangkat desa pasca kegiatan</w:t>
            </w:r>
          </w:p>
        </w:tc>
      </w:tr>
    </w:tbl>
    <w:p w14:paraId="00000062">
      <w:pPr>
        <w:pStyle w:val="style0"/>
        <w:keepNext w:val="false"/>
        <w:keepLines w:val="false"/>
        <w:pageBreakBefore w:val="false"/>
        <w:widowControl/>
        <w:pBdr>
          <w:left w:val="nil"/>
          <w:right w:val="nil"/>
          <w:top w:val="nil"/>
          <w:bottom w:val="nil"/>
          <w:between w:val="nil"/>
        </w:pBdr>
        <w:shd w:val="clear" w:color="auto" w:fill="auto"/>
        <w:spacing w:before="0" w:after="0" w:lineRule="auto" w:line="480"/>
        <w:ind w:left="0" w:right="0" w:firstLine="567"/>
        <w:jc w:val="both"/>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t>Keberlanjutan menjadi bagian penting dari pengabdian karena manfaat ekonomi baru akan muncul apabila produksi, pemasaran, dan evaluasi dilakukan setelah kegiatan KKN berakhir. Dokumen mahasiswa merekomendasikan adanya pengurus, jadwal produksi, sumber bahan, pembeli, mekanisme evaluasi, serta standar operasi sederhana. Pendekatan tersebut sejalan dengan gagasan pemberdayaan yang menempatkan mitra sebagai pelaku utama, bukan sekadar penerima teknologi.</w:t>
      </w:r>
    </w:p>
    <w:p w14:paraId="00000063">
      <w:pPr>
        <w:pStyle w:val="style0"/>
        <w:keepNext w:val="false"/>
        <w:keepLines w:val="false"/>
        <w:pageBreakBefore w:val="false"/>
        <w:widowControl/>
        <w:pBdr>
          <w:left w:val="nil"/>
          <w:right w:val="nil"/>
          <w:top w:val="nil"/>
          <w:bottom w:val="nil"/>
          <w:between w:val="nil"/>
        </w:pBdr>
        <w:shd w:val="clear" w:color="auto" w:fill="auto"/>
        <w:spacing w:before="0" w:after="0" w:lineRule="auto" w:line="480"/>
        <w:ind w:left="0" w:right="0" w:firstLine="567"/>
        <w:jc w:val="both"/>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t>Secara keseluruhan, integrasi pelatihan teknis briket dan BMC memberikan struktur pengabdian yang lebih utuh. Briket menjawab persoalan pemanfaatan residu biomassa, sedangkan BMC menjawab persoalan bagaimana produk tersebut dapat memiliki arah pasar dan mekanisme usaha. Kombinasi keduanya relevan untuk membangun kemandirian ekonomi secara bertahap, tetapi keberhasilan jangka panjang tetap bergantung pada konsistensi mutu, pencatatan biaya, validasi pasar, pembagian peran kelompok, serta pendampingan lanjutan.</w:t>
      </w:r>
    </w:p>
    <w:p w14:paraId="00000064">
      <w:pPr>
        <w:pStyle w:val="style1"/>
        <w:tabs>
          <w:tab w:val="left" w:leader="none" w:pos="216"/>
        </w:tabs>
        <w:spacing w:before="160" w:after="200"/>
        <w:jc w:val="left"/>
        <w:rPr/>
      </w:pPr>
      <w:r>
        <w:rPr>
          <w:b/>
          <w:bCs/>
        </w:rPr>
        <w:t>PENUTUP</w:t>
      </w:r>
    </w:p>
    <w:p w14:paraId="00000065">
      <w:pPr>
        <w:pStyle w:val="style2"/>
        <w:spacing w:before="120" w:after="120"/>
        <w:jc w:val="left"/>
        <w:rPr/>
      </w:pPr>
      <w:r>
        <w:rPr>
          <w:b/>
          <w:bCs/>
        </w:rPr>
        <w:t>Simpulan</w:t>
      </w:r>
    </w:p>
    <w:p w14:paraId="00000066">
      <w:pPr>
        <w:pStyle w:val="style0"/>
        <w:keepNext w:val="false"/>
        <w:keepLines w:val="false"/>
        <w:pageBreakBefore w:val="false"/>
        <w:widowControl/>
        <w:pBdr>
          <w:left w:val="nil"/>
          <w:right w:val="nil"/>
          <w:top w:val="nil"/>
          <w:bottom w:val="nil"/>
          <w:between w:val="nil"/>
        </w:pBdr>
        <w:shd w:val="clear" w:color="auto" w:fill="auto"/>
        <w:spacing w:before="0" w:after="0" w:lineRule="auto" w:line="480"/>
        <w:ind w:left="0" w:right="0" w:firstLine="567"/>
        <w:jc w:val="both"/>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t>Pelatihan pembuatan briket sekam padi yang dipadukan dengan penyusunan Business Model Canvas merupakan pendekatan pengabdian yang menghubungkan pemanfaatan limbah pertanian dengan penguatan kapasitas usaha masyarakat. Dari sisi teknis, kegiatan membangun pemahaman mengenai penyiapan bahan, karbonisasi, pencampuran perekat, pencetakan, pengeringan, dan pengendalian mutu dasar. Dari sisi usaha, BMC membantu kelompok merumuskan pelanggan, nilai produk, saluran pemasaran, sumber daya, aktivitas, mitra, pendapatan, dan struktur biaya. Buku luaran KKN memperkuat program sebagai panduan praktik dan keberlanjutan. Namun, sebelum artikel diajukan ke jurnal, data hasil kegiatan yang bersifat kuantitatif perlu dilengkapi agar peningkatan kapasitas masyarakat dapat ditunjukkan secara terukur.</w:t>
      </w:r>
    </w:p>
    <w:p w14:paraId="00000067">
      <w:pPr>
        <w:pStyle w:val="style2"/>
        <w:spacing w:before="120" w:after="120"/>
        <w:jc w:val="left"/>
        <w:rPr/>
      </w:pPr>
      <w:r>
        <w:rPr>
          <w:b/>
          <w:bCs/>
        </w:rPr>
        <w:t>Saran</w:t>
      </w:r>
    </w:p>
    <w:p w14:paraId="00000068">
      <w:pPr>
        <w:pStyle w:val="style0"/>
        <w:keepNext w:val="false"/>
        <w:keepLines w:val="false"/>
        <w:pageBreakBefore w:val="false"/>
        <w:widowControl/>
        <w:pBdr>
          <w:left w:val="nil"/>
          <w:right w:val="nil"/>
          <w:top w:val="nil"/>
          <w:bottom w:val="nil"/>
          <w:between w:val="nil"/>
        </w:pBdr>
        <w:shd w:val="clear" w:color="auto" w:fill="auto"/>
        <w:spacing w:before="0" w:after="0" w:lineRule="auto" w:line="480"/>
        <w:ind w:left="0" w:right="0" w:firstLine="567"/>
        <w:jc w:val="both"/>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t>Kegiatan lanjutan perlu diarahkan pada pengujian mutu briket, penyempurnaan formulasi berdasarkan bahan lokal, pencatatan biaya produksi secara rinci, uji pasar pada segmen konsumen yang telah dipilih, serta pendampingan produksi berkala. Evaluasi berikutnya disarankan menggunakan pre-test dan post-test, rubrik keterampilan praktik, penilaian kelengkapan BMC, dan pemantauan keberlanjutan usaha minimal beberapa minggu setelah pelatihan.</w:t>
      </w:r>
    </w:p>
    <w:p w14:paraId="00000069">
      <w:pPr>
        <w:pStyle w:val="style1"/>
        <w:tabs>
          <w:tab w:val="left" w:leader="none" w:pos="216"/>
        </w:tabs>
        <w:spacing w:before="160" w:after="200"/>
        <w:jc w:val="left"/>
        <w:rPr/>
      </w:pPr>
      <w:r>
        <w:rPr>
          <w:b/>
          <w:bCs/>
        </w:rPr>
        <w:t>UCAPAN TERIMA KASIH</w:t>
      </w:r>
    </w:p>
    <w:p w14:paraId="0000006A">
      <w:pPr>
        <w:pStyle w:val="style0"/>
        <w:keepNext w:val="false"/>
        <w:keepLines w:val="false"/>
        <w:pageBreakBefore w:val="false"/>
        <w:widowControl/>
        <w:pBdr>
          <w:left w:val="nil"/>
          <w:right w:val="nil"/>
          <w:top w:val="nil"/>
          <w:bottom w:val="nil"/>
          <w:between w:val="nil"/>
        </w:pBdr>
        <w:shd w:val="clear" w:color="auto" w:fill="auto"/>
        <w:spacing w:before="0" w:after="0" w:lineRule="auto" w:line="480"/>
        <w:ind w:left="0" w:right="0" w:firstLine="567"/>
        <w:jc w:val="both"/>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t xml:space="preserve">Tim pengabdian menyampaikan terima kasih kepada Pemerintah Desa Jagapura Kidul, masyarakat mitra, mahasiswa KKN Universitas Pancasakti Tegal, serta seluruh pihak yang mendukung pelaksanaan kegiatan. </w:t>
      </w:r>
    </w:p>
    <w:p w14:paraId="0000006B">
      <w:pPr>
        <w:pStyle w:val="style1"/>
        <w:tabs>
          <w:tab w:val="left" w:leader="none" w:pos="216"/>
        </w:tabs>
        <w:spacing w:before="160" w:after="200"/>
        <w:jc w:val="left"/>
        <w:rPr/>
      </w:pPr>
      <w:r>
        <w:rPr>
          <w:b/>
          <w:bCs/>
        </w:rPr>
        <w:t>DAFTAR PUSTAKA</w:t>
      </w:r>
    </w:p>
    <w:p w14:paraId="0000006C">
      <w:pPr>
        <w:pStyle w:val="style0"/>
        <w:keepNext w:val="false"/>
        <w:keepLines w:val="false"/>
        <w:pageBreakBefore w:val="false"/>
        <w:widowControl/>
        <w:pBdr>
          <w:left w:val="nil"/>
          <w:right w:val="nil"/>
          <w:top w:val="nil"/>
          <w:bottom w:val="nil"/>
          <w:between w:val="nil"/>
        </w:pBdr>
        <w:shd w:val="clear" w:color="auto" w:fill="auto"/>
        <w:spacing w:before="0" w:after="60" w:lineRule="auto" w:line="360"/>
        <w:ind w:left="425" w:right="0" w:hanging="425"/>
        <w:jc w:val="both"/>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2"/>
          <w:szCs w:val="22"/>
          <w:u w:val="none"/>
          <w:shd w:val="clear" w:color="auto" w:fill="auto"/>
          <w:vertAlign w:val="baseline"/>
        </w:rPr>
        <w:t>Badan Pusat Statistik (BPS). 2026. Luas panen padi pada tahun 2025 mencapai sekitar 11,32 juta hektare dengan produksi padi sebanyak 60,21 juta ton gabah kering giling (GKG). Jakarta: Badan Pusat Statistik.</w:t>
      </w:r>
    </w:p>
    <w:p w14:paraId="0000006D">
      <w:pPr>
        <w:pStyle w:val="style0"/>
        <w:keepNext w:val="false"/>
        <w:keepLines w:val="false"/>
        <w:pageBreakBefore w:val="false"/>
        <w:widowControl/>
        <w:pBdr>
          <w:left w:val="nil"/>
          <w:right w:val="nil"/>
          <w:top w:val="nil"/>
          <w:bottom w:val="nil"/>
          <w:between w:val="nil"/>
        </w:pBdr>
        <w:shd w:val="clear" w:color="auto" w:fill="auto"/>
        <w:spacing w:before="0" w:after="60" w:lineRule="auto" w:line="360"/>
        <w:ind w:left="425" w:right="0" w:hanging="425"/>
        <w:jc w:val="both"/>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2"/>
          <w:szCs w:val="22"/>
          <w:u w:val="none"/>
          <w:shd w:val="clear" w:color="auto" w:fill="auto"/>
          <w:vertAlign w:val="baseline"/>
        </w:rPr>
        <w:t>Dhaifullah, M., Yuningsih, M., Kusumawardhani, K., Kamila, N., Maulana, R., Widaningsih, W., Yuliyani, Z., Nurdiansah, E., Nugroho, M., Setiani, F. dan Rahmanawati, A. 2025. Pemanfaatan sekam padi sebagai briket arang dalam upaya peningkatan nilai tambah limbah pertanian. Jurnal Pengabdian Masyarakat: Pemberdayaan, Inovasi dan Perubahan, 5(5). https://doi.org/10.59818/jpm.v5i5.2060.</w:t>
      </w:r>
    </w:p>
    <w:p w14:paraId="0000006E">
      <w:pPr>
        <w:pStyle w:val="style0"/>
        <w:keepNext w:val="false"/>
        <w:keepLines w:val="false"/>
        <w:pageBreakBefore w:val="false"/>
        <w:widowControl/>
        <w:pBdr>
          <w:left w:val="nil"/>
          <w:right w:val="nil"/>
          <w:top w:val="nil"/>
          <w:bottom w:val="nil"/>
          <w:between w:val="nil"/>
        </w:pBdr>
        <w:shd w:val="clear" w:color="auto" w:fill="auto"/>
        <w:spacing w:before="0" w:after="60" w:lineRule="auto" w:line="360"/>
        <w:ind w:left="425" w:right="0" w:hanging="425"/>
        <w:jc w:val="both"/>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2"/>
          <w:szCs w:val="22"/>
          <w:u w:val="none"/>
          <w:shd w:val="clear" w:color="auto" w:fill="auto"/>
          <w:vertAlign w:val="baseline"/>
        </w:rPr>
        <w:t>Ghafarunnisa, D., Aqla, S., Firman, Sartika, Septiansyah, S.I., Santi, M., Herman, Afandi, I.H. dan Mastura, S. 2025. Pemanfaatan sekam padi menjadi briket ramah lingkungan untuk mendukung energi berkelanjutan di Desa Tanjung Baik Budi Kabupaten Ketapang. Journal of Applied Community Engagement, 5(2). https://doi.org/10.52158/jace.v5i2.1329.</w:t>
      </w:r>
    </w:p>
    <w:p w14:paraId="0000006F">
      <w:pPr>
        <w:pStyle w:val="style0"/>
        <w:keepNext w:val="false"/>
        <w:keepLines w:val="false"/>
        <w:pageBreakBefore w:val="false"/>
        <w:widowControl/>
        <w:pBdr>
          <w:left w:val="nil"/>
          <w:right w:val="nil"/>
          <w:top w:val="nil"/>
          <w:bottom w:val="nil"/>
          <w:between w:val="nil"/>
        </w:pBdr>
        <w:shd w:val="clear" w:color="auto" w:fill="auto"/>
        <w:spacing w:before="0" w:after="60" w:lineRule="auto" w:line="360"/>
        <w:ind w:left="425" w:right="0" w:hanging="425"/>
        <w:jc w:val="both"/>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2"/>
          <w:szCs w:val="22"/>
          <w:u w:val="none"/>
          <w:shd w:val="clear" w:color="auto" w:fill="auto"/>
          <w:vertAlign w:val="baseline"/>
        </w:rPr>
        <w:t>Hermawati, L. dan Ekawarti, Y. 2024. Business Model Canvas sebagai strategi penetrasi usaha mikro ke pasar modern dan ekspor. Jurnal Pemberdayaan Masyarakat Indonesia, 6(1), 22–32. https://doi.org/10.21632/jpmi.6.1.22-32.</w:t>
      </w:r>
    </w:p>
    <w:p w14:paraId="00000070">
      <w:pPr>
        <w:pStyle w:val="style0"/>
        <w:keepNext w:val="false"/>
        <w:keepLines w:val="false"/>
        <w:pageBreakBefore w:val="false"/>
        <w:widowControl/>
        <w:pBdr>
          <w:left w:val="nil"/>
          <w:right w:val="nil"/>
          <w:top w:val="nil"/>
          <w:bottom w:val="nil"/>
          <w:between w:val="nil"/>
        </w:pBdr>
        <w:shd w:val="clear" w:color="auto" w:fill="auto"/>
        <w:spacing w:before="0" w:after="60" w:lineRule="auto" w:line="360"/>
        <w:ind w:left="425" w:right="0" w:hanging="425"/>
        <w:jc w:val="both"/>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2"/>
          <w:szCs w:val="22"/>
          <w:u w:val="none"/>
          <w:shd w:val="clear" w:color="auto" w:fill="auto"/>
          <w:vertAlign w:val="baseline"/>
        </w:rPr>
        <w:t>Lubwama, M., Birungi, A., Nuwamanya, A. dkk. 2024. Characteristics of rice husk biochar briquettes with municipal solid waste cassava, sweet potato and matooke peelings as binders. Materials for Renewable and Sustainable Energy, 13, 243–254. https://doi.org/10.1007/s40243-024-00262-x.</w:t>
      </w:r>
    </w:p>
    <w:p w14:paraId="00000071">
      <w:pPr>
        <w:pStyle w:val="style0"/>
        <w:keepNext w:val="false"/>
        <w:keepLines w:val="false"/>
        <w:pageBreakBefore w:val="false"/>
        <w:widowControl/>
        <w:pBdr>
          <w:left w:val="nil"/>
          <w:right w:val="nil"/>
          <w:top w:val="nil"/>
          <w:bottom w:val="nil"/>
          <w:between w:val="nil"/>
        </w:pBdr>
        <w:shd w:val="clear" w:color="auto" w:fill="auto"/>
        <w:spacing w:before="0" w:after="60" w:lineRule="auto" w:line="360"/>
        <w:ind w:left="425" w:right="0" w:hanging="425"/>
        <w:jc w:val="both"/>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2"/>
          <w:szCs w:val="22"/>
          <w:u w:val="none"/>
          <w:shd w:val="clear" w:color="auto" w:fill="auto"/>
          <w:vertAlign w:val="baseline"/>
        </w:rPr>
        <w:t>Magdalena, L., Hatta, M. dan Febima, M. 2024. Pendampingan pengembangan usaha UMKM baru di Kota Cirebon dengan ekosistem Model Bisnis Canvas. Journal of Community Empowerment and Innovation, 4(1). https://doi.org/10.47668/join.v4i1.1587.</w:t>
      </w:r>
    </w:p>
    <w:p w14:paraId="00000072">
      <w:pPr>
        <w:pStyle w:val="style0"/>
        <w:keepNext w:val="false"/>
        <w:keepLines w:val="false"/>
        <w:pageBreakBefore w:val="false"/>
        <w:widowControl/>
        <w:pBdr>
          <w:left w:val="nil"/>
          <w:right w:val="nil"/>
          <w:top w:val="nil"/>
          <w:bottom w:val="nil"/>
          <w:between w:val="nil"/>
        </w:pBdr>
        <w:shd w:val="clear" w:color="auto" w:fill="auto"/>
        <w:spacing w:before="0" w:after="60" w:lineRule="auto" w:line="360"/>
        <w:ind w:left="425" w:right="0" w:hanging="425"/>
        <w:jc w:val="both"/>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2"/>
          <w:szCs w:val="22"/>
          <w:u w:val="none"/>
          <w:shd w:val="clear" w:color="auto" w:fill="auto"/>
          <w:vertAlign w:val="baseline"/>
        </w:rPr>
        <w:t>Oktafia, L., Kinanti, I.A., Alisharsa, M.D., Irgie, R., Istiqomah, A.F. dan Budiman, A. 2024. Training on the manufacture and digital marketing of husk waste briquettes in Punggul Village, Sidoarjo. Abimanyu: Journal of Community Engagement, 5(1), 1–8. https://doi.org/10.26740/abi.v5n1.p1-8.</w:t>
      </w:r>
    </w:p>
    <w:p w14:paraId="00000073">
      <w:pPr>
        <w:pStyle w:val="style0"/>
        <w:keepNext w:val="false"/>
        <w:keepLines w:val="false"/>
        <w:pageBreakBefore w:val="false"/>
        <w:widowControl/>
        <w:pBdr>
          <w:left w:val="nil"/>
          <w:right w:val="nil"/>
          <w:top w:val="nil"/>
          <w:bottom w:val="nil"/>
          <w:between w:val="nil"/>
        </w:pBdr>
        <w:shd w:val="clear" w:color="auto" w:fill="auto"/>
        <w:spacing w:before="0" w:after="60" w:lineRule="auto" w:line="360"/>
        <w:ind w:left="425" w:right="0" w:hanging="425"/>
        <w:jc w:val="both"/>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2"/>
          <w:szCs w:val="22"/>
          <w:u w:val="none"/>
          <w:shd w:val="clear" w:color="auto" w:fill="auto"/>
          <w:vertAlign w:val="baseline"/>
        </w:rPr>
        <w:t>Pemerintah Kabupaten Cirebon. 2025. Rencana Pembangunan Jangka Menengah Daerah Kabupaten Cirebon 2025–2029. Cirebon: Pemerintah Kabupaten Cirebon.</w:t>
      </w:r>
    </w:p>
    <w:p w14:paraId="00000074">
      <w:pPr>
        <w:pStyle w:val="style0"/>
        <w:keepNext w:val="false"/>
        <w:keepLines w:val="false"/>
        <w:pageBreakBefore w:val="false"/>
        <w:widowControl/>
        <w:pBdr>
          <w:left w:val="nil"/>
          <w:right w:val="nil"/>
          <w:top w:val="nil"/>
          <w:bottom w:val="nil"/>
          <w:between w:val="nil"/>
        </w:pBdr>
        <w:shd w:val="clear" w:color="auto" w:fill="auto"/>
        <w:spacing w:before="0" w:after="60" w:lineRule="auto" w:line="360"/>
        <w:ind w:left="425" w:right="0" w:hanging="425"/>
        <w:jc w:val="both"/>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2"/>
          <w:szCs w:val="22"/>
          <w:u w:val="none"/>
          <w:shd w:val="clear" w:color="auto" w:fill="auto"/>
          <w:vertAlign w:val="baseline"/>
        </w:rPr>
        <w:t>Rahmat, Z. dan Darni. 2024. Workshop Business Model Canvas (BMC) dalam rangka mendukung Program Kewirausahaan Mahasiswa Indonesia. Community Service Journal of Economics Education, 3(2). https://doi.org/10.24014/csjee.v3i2.34700.</w:t>
      </w:r>
    </w:p>
    <w:p w14:paraId="00000075">
      <w:pPr>
        <w:pStyle w:val="style0"/>
        <w:keepNext w:val="false"/>
        <w:keepLines w:val="false"/>
        <w:pageBreakBefore w:val="false"/>
        <w:widowControl/>
        <w:pBdr>
          <w:left w:val="nil"/>
          <w:right w:val="nil"/>
          <w:top w:val="nil"/>
          <w:bottom w:val="nil"/>
          <w:between w:val="nil"/>
        </w:pBdr>
        <w:shd w:val="clear" w:color="auto" w:fill="auto"/>
        <w:spacing w:before="0" w:after="60" w:lineRule="auto" w:line="360"/>
        <w:ind w:left="425" w:right="0" w:hanging="425"/>
        <w:jc w:val="both"/>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2"/>
          <w:szCs w:val="22"/>
          <w:u w:val="none"/>
          <w:shd w:val="clear" w:color="auto" w:fill="auto"/>
          <w:vertAlign w:val="baseline"/>
        </w:rPr>
        <w:t>Ulva, S.M., Sulaiman, D., Syahdan, S., Sari, A.L.R., Arif, A. dan Christyanti, R.D. 2025. Pelatihan pembuatan briket berbahan limbah sekam padi sebagai sumber energi alternatif Desa Sajau Hilir. Jurnal Pengabdian Masyarakat Bangsa, 3(4), 1339–1344. https://doi.org/10.59837/jpmba.v3i4.2418.</w:t>
      </w:r>
    </w:p>
    <w:p w14:paraId="00000076">
      <w:pPr>
        <w:pStyle w:val="style0"/>
        <w:keepNext w:val="false"/>
        <w:keepLines w:val="false"/>
        <w:pageBreakBefore w:val="false"/>
        <w:widowControl/>
        <w:pBdr>
          <w:left w:val="nil"/>
          <w:right w:val="nil"/>
          <w:top w:val="nil"/>
          <w:bottom w:val="nil"/>
          <w:between w:val="nil"/>
        </w:pBdr>
        <w:shd w:val="clear" w:color="auto" w:fill="auto"/>
        <w:spacing w:before="0" w:after="60" w:lineRule="auto" w:line="360"/>
        <w:ind w:left="425" w:right="0" w:hanging="425"/>
        <w:jc w:val="both"/>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2"/>
          <w:szCs w:val="22"/>
          <w:u w:val="none"/>
          <w:shd w:val="clear" w:color="auto" w:fill="auto"/>
          <w:vertAlign w:val="baseline"/>
        </w:rPr>
        <w:t>Wisnubroto, M.P. dan Yulianto, K. 2024. Community service helps businesses development in creating a Business Model Canvas for the PTL Coffee in South Solok Regency, West Sumatra. Dinamisia: Jurnal Pengabdian Kepada Masyarakat, 8(3), 871–881. https://doi.org/10.31849/dinamisia.v8i3.17750.</w:t>
      </w:r>
    </w:p>
    <w:sectPr>
      <w:headerReference w:type="even" r:id="rId4"/>
      <w:headerReference w:type="default" r:id="rId5"/>
      <w:footerReference w:type="even" r:id="rId6"/>
      <w:footerReference w:type="default" r:id="rId7"/>
      <w:headerReference w:type="first" r:id="rId8"/>
      <w:footerReference w:type="first" r:id="rId9"/>
      <w:pgSz w:w="11906" w:h="16838" w:orient="portrait"/>
      <w:pgMar w:top="1587" w:right="1134" w:bottom="1247" w:left="1134" w:header="283" w:footer="397" w:gutter="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file>

<file path=word/footer3.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00000080">
    <w:pPr>
      <w:pStyle w:val="style0"/>
      <w:keepNext w:val="false"/>
      <w:keepLines w:val="false"/>
      <w:widowControl/>
      <w:pBdr>
        <w:left w:val="nil"/>
        <w:right w:val="nil"/>
        <w:top w:val="nil"/>
        <w:bottom w:val="nil"/>
        <w:between w:val="nil"/>
      </w:pBdr>
      <w:shd w:val="clear" w:color="auto" w:fill="auto"/>
      <w:tabs>
        <w:tab w:val="center" w:leader="none" w:pos="4513"/>
        <w:tab w:val="right" w:leader="none" w:pos="9026"/>
      </w:tabs>
      <w:spacing w:before="0" w:after="0" w:lineRule="auto" w:line="240"/>
      <w:ind w:left="0" w:right="0" w:firstLine="0"/>
      <w:jc w:val="center"/>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p>
</w:ftr>
</file>

<file path=word/footer4.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0000007C">
    <w:pPr>
      <w:pStyle w:val="style0"/>
      <w:keepNext w:val="false"/>
      <w:keepLines w:val="false"/>
      <w:widowControl/>
      <w:pBdr>
        <w:left w:val="nil"/>
        <w:right w:val="nil"/>
        <w:top w:val="nil"/>
        <w:bottom w:val="nil"/>
        <w:between w:val="nil"/>
      </w:pBdr>
      <w:shd w:val="clear" w:color="auto" w:fill="auto"/>
      <w:tabs>
        <w:tab w:val="center" w:leader="none" w:pos="4513"/>
        <w:tab w:val="right" w:leader="none" w:pos="9026"/>
      </w:tabs>
      <w:spacing w:before="0" w:after="0" w:lineRule="auto" w:line="240"/>
      <w:ind w:left="0" w:right="0" w:firstLine="0"/>
      <w:jc w:val="right"/>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fldChar w:fldCharType="begin"/>
    </w:r>
    <w:r>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instrText>PAGE</w:instrText>
    </w:r>
    <w:r>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fldChar w:fldCharType="separate"/>
    </w:r>
    <w:r>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fldChar w:fldCharType="end"/>
    </w:r>
  </w:p>
  <w:p w14:paraId="0000007D">
    <w:pPr>
      <w:pStyle w:val="style0"/>
      <w:keepNext w:val="false"/>
      <w:keepLines w:val="false"/>
      <w:widowControl/>
      <w:pBdr>
        <w:left w:val="nil"/>
        <w:right w:val="nil"/>
        <w:top w:val="nil"/>
        <w:bottom w:val="nil"/>
        <w:between w:val="nil"/>
      </w:pBdr>
      <w:shd w:val="clear" w:color="auto" w:fill="auto"/>
      <w:tabs>
        <w:tab w:val="center" w:leader="none" w:pos="4513"/>
        <w:tab w:val="right" w:leader="none" w:pos="9026"/>
      </w:tabs>
      <w:spacing w:before="0" w:after="0" w:lineRule="auto" w:line="240"/>
      <w:ind w:left="0" w:right="0" w:firstLine="0"/>
      <w:jc w:val="center"/>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p>
</w:ftr>
</file>

<file path=word/footer6.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0000007E">
    <w:pPr>
      <w:pStyle w:val="style0"/>
      <w:keepNext w:val="false"/>
      <w:keepLines w:val="false"/>
      <w:widowControl/>
      <w:pBdr>
        <w:left w:val="nil"/>
        <w:right w:val="nil"/>
        <w:top w:val="nil"/>
        <w:bottom w:val="nil"/>
        <w:between w:val="nil"/>
      </w:pBdr>
      <w:shd w:val="clear" w:color="auto" w:fill="auto"/>
      <w:tabs>
        <w:tab w:val="center" w:leader="none" w:pos="4513"/>
        <w:tab w:val="right" w:leader="none" w:pos="9026"/>
      </w:tabs>
      <w:spacing w:before="0" w:after="0" w:lineRule="auto" w:line="240"/>
      <w:ind w:left="0" w:right="0" w:firstLine="0"/>
      <w:jc w:val="right"/>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fldChar w:fldCharType="begin"/>
    </w:r>
    <w:r>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instrText>PAGE</w:instrText>
    </w:r>
    <w:r>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fldChar w:fldCharType="separate"/>
    </w:r>
    <w:r>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fldChar w:fldCharType="end"/>
    </w: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0000007B">
    <w:pPr>
      <w:pStyle w:val="style0"/>
      <w:keepNext w:val="false"/>
      <w:keepLines w:val="false"/>
      <w:widowControl/>
      <w:pBdr>
        <w:left w:val="nil"/>
        <w:right w:val="nil"/>
        <w:top w:val="nil"/>
        <w:bottom w:val="nil"/>
        <w:between w:val="nil"/>
      </w:pBdr>
      <w:shd w:val="clear" w:color="auto" w:fill="auto"/>
      <w:tabs>
        <w:tab w:val="center" w:leader="none" w:pos="4513"/>
        <w:tab w:val="right" w:leader="none" w:pos="9026"/>
      </w:tabs>
      <w:spacing w:before="0" w:after="0" w:lineRule="auto" w:line="240"/>
      <w:ind w:left="0" w:right="0" w:firstLine="0"/>
      <w:jc w:val="center"/>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00000077">
    <w:pPr>
      <w:pStyle w:val="style0"/>
      <w:keepNext w:val="false"/>
      <w:keepLines w:val="false"/>
      <w:widowControl/>
      <w:pBdr>
        <w:left w:val="nil"/>
        <w:right w:val="nil"/>
        <w:top w:val="nil"/>
        <w:bottom w:val="nil"/>
        <w:between w:val="nil"/>
      </w:pBdr>
      <w:shd w:val="clear" w:color="auto" w:fill="auto"/>
      <w:tabs>
        <w:tab w:val="center" w:leader="none" w:pos="4513"/>
        <w:tab w:val="right" w:leader="none" w:pos="9026"/>
      </w:tabs>
      <w:spacing w:before="0" w:after="0" w:lineRule="auto" w:line="240"/>
      <w:ind w:left="0" w:right="0" w:firstLine="0"/>
      <w:jc w:val="left"/>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drawing>
        <wp:inline distL="0" distT="0" distB="0" distR="0">
          <wp:extent cx="6106160" cy="1466850"/>
          <wp:effectExtent l="0" t="0" r="0" b="0"/>
          <wp:docPr id="4097" name="image3.jp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image3.jpg"/>
                  <pic:cNvPicPr/>
                </pic:nvPicPr>
                <pic:blipFill>
                  <a:blip r:embed="rId1" cstate="print"/>
                  <a:srcRect l="0" t="0" r="0" b="0"/>
                  <a:stretch/>
                </pic:blipFill>
                <pic:spPr>
                  <a:xfrm rot="0">
                    <a:off x="0" y="0"/>
                    <a:ext cx="6106160" cy="1466850"/>
                  </a:xfrm>
                  <a:prstGeom prst="rect"/>
                  <a:ln cmpd="sng" cap="flat" w="9525">
                    <a:solidFill>
                      <a:srgbClr val="000000"/>
                    </a:solidFill>
                    <a:prstDash val="solid"/>
                    <a:round/>
                    <a:headEnd/>
                    <a:tailEnd/>
                  </a:ln>
                </pic:spPr>
              </pic:pic>
            </a:graphicData>
          </a:graphic>
        </wp:inline>
      </w:drawing>
    </w:r>
  </w:p>
  <w:p w14:paraId="00000078">
    <w:pPr>
      <w:pStyle w:val="style0"/>
      <w:keepNext w:val="false"/>
      <w:keepLines w:val="false"/>
      <w:widowControl/>
      <w:pBdr>
        <w:left w:val="nil"/>
        <w:right w:val="nil"/>
        <w:top w:val="nil"/>
        <w:bottom w:val="nil"/>
        <w:between w:val="nil"/>
      </w:pBdr>
      <w:shd w:val="clear" w:color="auto" w:fill="auto"/>
      <w:tabs>
        <w:tab w:val="center" w:leader="none" w:pos="4513"/>
        <w:tab w:val="right" w:leader="none" w:pos="9026"/>
      </w:tabs>
      <w:spacing w:before="0" w:after="0" w:lineRule="auto" w:line="240"/>
      <w:ind w:left="0" w:right="0" w:firstLine="0"/>
      <w:jc w:val="left"/>
      <w:rPr>
        <w:rFonts w:ascii="Times New Roman" w:cs="Times New Roman" w:eastAsia="Times New Roman" w:hAnsi="Times New Roman"/>
        <w:b w:val="false"/>
        <w:bCs w:val="false"/>
        <w:i w:val="false"/>
        <w:iCs w:val="false"/>
        <w:smallCaps w:val="false"/>
        <w:color w:val="000000"/>
        <w:sz w:val="12"/>
        <w:szCs w:val="12"/>
        <w:u w:val="none"/>
        <w:shd w:val="clear" w:color="auto" w:fill="auto"/>
        <w:vertAlign w:val="baseline"/>
      </w:rPr>
    </w:pPr>
  </w:p>
</w:hdr>
</file>

<file path=word/header5.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00000079">
    <w:pPr>
      <w:pStyle w:val="style0"/>
      <w:keepNext w:val="false"/>
      <w:keepLines w:val="false"/>
      <w:widowControl/>
      <w:pBdr>
        <w:left w:val="nil"/>
        <w:right w:val="nil"/>
        <w:top w:val="nil"/>
        <w:bottom w:val="nil"/>
        <w:between w:val="nil"/>
      </w:pBdr>
      <w:shd w:val="clear" w:color="auto" w:fill="auto"/>
      <w:tabs>
        <w:tab w:val="center" w:leader="none" w:pos="4513"/>
        <w:tab w:val="right" w:leader="none" w:pos="9026"/>
      </w:tabs>
      <w:spacing w:before="0" w:after="0" w:lineRule="auto" w:line="240"/>
      <w:ind w:left="0" w:right="0" w:firstLine="0"/>
      <w:jc w:val="left"/>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drawing>
        <wp:inline distL="0" distT="0" distB="0" distR="0">
          <wp:extent cx="6106160" cy="1466850"/>
          <wp:effectExtent l="0" t="0" r="0" b="0"/>
          <wp:docPr id="4098" name="image3.jp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image3.jpg"/>
                  <pic:cNvPicPr/>
                </pic:nvPicPr>
                <pic:blipFill>
                  <a:blip r:embed="rId1" cstate="print"/>
                  <a:srcRect l="0" t="0" r="0" b="0"/>
                  <a:stretch/>
                </pic:blipFill>
                <pic:spPr>
                  <a:xfrm rot="0">
                    <a:off x="0" y="0"/>
                    <a:ext cx="6106160" cy="1466850"/>
                  </a:xfrm>
                  <a:prstGeom prst="rect"/>
                  <a:ln cmpd="sng" cap="flat" w="9525">
                    <a:solidFill>
                      <a:srgbClr val="000000"/>
                    </a:solidFill>
                    <a:prstDash val="solid"/>
                    <a:round/>
                    <a:headEnd/>
                    <a:tailEnd/>
                  </a:ln>
                </pic:spPr>
              </pic:pic>
            </a:graphicData>
          </a:graphic>
        </wp:inline>
      </w:drawing>
    </w:r>
  </w:p>
  <w:p w14:paraId="0000007A">
    <w:pPr>
      <w:pStyle w:val="style0"/>
      <w:keepNext w:val="false"/>
      <w:keepLines w:val="false"/>
      <w:widowControl/>
      <w:pBdr>
        <w:left w:val="nil"/>
        <w:right w:val="nil"/>
        <w:top w:val="nil"/>
        <w:bottom w:val="nil"/>
        <w:between w:val="nil"/>
      </w:pBdr>
      <w:shd w:val="clear" w:color="auto" w:fill="auto"/>
      <w:tabs>
        <w:tab w:val="center" w:leader="none" w:pos="4513"/>
        <w:tab w:val="right" w:leader="none" w:pos="9026"/>
      </w:tabs>
      <w:spacing w:before="0" w:after="0" w:lineRule="auto" w:line="240"/>
      <w:ind w:left="0" w:right="0" w:firstLine="0"/>
      <w:jc w:val="left"/>
      <w:rPr>
        <w:rFonts w:ascii="Times New Roman" w:cs="Times New Roman" w:eastAsia="Times New Roman" w:hAnsi="Times New Roman"/>
        <w:b w:val="false"/>
        <w:bCs w:val="false"/>
        <w:i w:val="false"/>
        <w:iCs w:val="false"/>
        <w:smallCaps w:val="false"/>
        <w:color w:val="000000"/>
        <w:sz w:val="12"/>
        <w:szCs w:val="12"/>
        <w:u w:val="none"/>
        <w:shd w:val="clear" w:color="auto" w:fill="auto"/>
        <w:vertAlign w:val="baselin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embedTrueTypeFonts/>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pPrDefault>
      <w:pPr>
        <w:jc w:val="center"/>
      </w:pPr>
    </w:pPrDefault>
  </w:docDefaults>
  <w:style w:type="table" w:customStyle="1" w:styleId="style4097">
    <w:name w:val="TableNormal"/>
    <w:next w:val="style4097"/>
    <w:pPr/>
    <w:rPr/>
    <w:tblPr>
      <w:tblCellMar>
        <w:top w:w="100" w:type="dxa"/>
        <w:left w:w="100" w:type="dxa"/>
        <w:bottom w:w="100" w:type="dxa"/>
        <w:right w:w="100" w:type="dxa"/>
      </w:tblCellMar>
    </w:tblPr>
    <w:tcPr>
      <w:tcBorders/>
    </w:tcPr>
  </w:style>
  <w:style w:type="paragraph" w:customStyle="1" w:styleId="style4098">
    <w:name w:val="normal"/>
    <w:next w:val="style4098"/>
    <w:pPr/>
  </w:style>
  <w:style w:type="paragraph" w:styleId="style1">
    <w:name w:val="heading 1"/>
    <w:basedOn w:val="style4098"/>
    <w:next w:val="style4098"/>
    <w:pPr>
      <w:keepNext/>
      <w:keepLines/>
      <w:tabs>
        <w:tab w:val="left" w:leader="none" w:pos="216"/>
      </w:tabs>
      <w:spacing w:before="160" w:after="80"/>
    </w:pPr>
    <w:rPr>
      <w:smallCaps/>
    </w:rPr>
  </w:style>
  <w:style w:type="paragraph" w:styleId="style2">
    <w:name w:val="heading 2"/>
    <w:basedOn w:val="style4098"/>
    <w:next w:val="style4098"/>
    <w:pPr>
      <w:keepNext/>
      <w:keepLines/>
      <w:spacing w:before="120" w:after="60"/>
      <w:jc w:val="left"/>
    </w:pPr>
    <w:rPr>
      <w:i/>
      <w:iCs/>
    </w:rPr>
  </w:style>
  <w:style w:type="paragraph" w:styleId="style3">
    <w:name w:val="heading 3"/>
    <w:basedOn w:val="style4098"/>
    <w:next w:val="style4098"/>
    <w:pPr>
      <w:spacing w:lineRule="auto" w:line="240"/>
      <w:jc w:val="both"/>
    </w:pPr>
    <w:rPr>
      <w:i/>
      <w:iCs/>
    </w:rPr>
  </w:style>
  <w:style w:type="paragraph" w:styleId="style4">
    <w:name w:val="heading 4"/>
    <w:basedOn w:val="style4098"/>
    <w:next w:val="style4098"/>
    <w:pPr>
      <w:spacing w:before="40" w:after="40"/>
      <w:jc w:val="both"/>
    </w:pPr>
    <w:rPr>
      <w:i/>
      <w:iCs/>
    </w:rPr>
  </w:style>
  <w:style w:type="paragraph" w:styleId="style5">
    <w:name w:val="heading 5"/>
    <w:basedOn w:val="style4098"/>
    <w:next w:val="style4098"/>
    <w:pPr>
      <w:tabs>
        <w:tab w:val="left" w:leader="none" w:pos="360"/>
      </w:tabs>
      <w:spacing w:before="160" w:after="80"/>
    </w:pPr>
    <w:rPr>
      <w:smallCaps/>
    </w:rPr>
  </w:style>
  <w:style w:type="paragraph" w:styleId="style6">
    <w:name w:val="heading 6"/>
    <w:basedOn w:val="style4098"/>
    <w:next w:val="style4098"/>
    <w:pPr>
      <w:keepNext/>
      <w:keepLines/>
      <w:pageBreakBefore w:val="false"/>
      <w:spacing w:before="200" w:after="40"/>
    </w:pPr>
    <w:rPr>
      <w:b/>
      <w:bCs/>
      <w:sz w:val="20"/>
      <w:szCs w:val="20"/>
    </w:rPr>
  </w:style>
  <w:style w:type="paragraph" w:styleId="style62">
    <w:name w:val="Title"/>
    <w:basedOn w:val="style4098"/>
    <w:next w:val="style4098"/>
    <w:pPr/>
    <w:rPr>
      <w:rFonts w:ascii="Arial" w:cs="Arial" w:eastAsia="Arial" w:hAnsi="Arial"/>
      <w:sz w:val="48"/>
      <w:szCs w:val="48"/>
    </w:rPr>
  </w:style>
  <w:style w:type="paragraph" w:styleId="style74">
    <w:name w:val="Subtitle"/>
    <w:basedOn w:val="style4098"/>
    <w:next w:val="style4098"/>
    <w:pPr>
      <w:keepNext/>
      <w:keepLines/>
      <w:pageBreakBefore w:val="false"/>
      <w:spacing w:before="360" w:after="80"/>
    </w:pPr>
    <w:rPr>
      <w:rFonts w:ascii="Georgia" w:cs="Georgia" w:eastAsia="Georgia" w:hAnsi="Georgia"/>
      <w:i/>
      <w:iCs/>
      <w:color w:val="666666"/>
      <w:sz w:val="48"/>
      <w:szCs w:val="48"/>
    </w:rPr>
  </w:style>
  <w:style w:type="table" w:customStyle="1" w:styleId="style4099">
    <w:basedOn w:val="style4097"/>
    <w:next w:val="style4099"/>
    <w:pPr/>
    <w:rPr/>
    <w:tblPr>
      <w:tblStyleRowBandSize w:val="1"/>
      <w:tblStyleColBandSize w:val="1"/>
      <w:tblCellMar>
        <w:top w:w="0" w:type="dxa"/>
        <w:left w:w="115" w:type="dxa"/>
        <w:bottom w:w="0" w:type="dxa"/>
        <w:right w:w="115" w:type="dxa"/>
      </w:tblCellMar>
    </w:tblPr>
    <w:tcPr>
      <w:tcBorders/>
    </w:tcPr>
  </w:style>
  <w:style w:type="table" w:customStyle="1" w:styleId="style4100">
    <w:basedOn w:val="style4097"/>
    <w:next w:val="style4100"/>
    <w:pPr/>
    <w:rPr/>
    <w:tblPr>
      <w:tblStyleRowBandSize w:val="1"/>
      <w:tblStyleColBandSize w:val="1"/>
      <w:tblCellMar>
        <w:top w:w="0" w:type="dxa"/>
        <w:left w:w="115" w:type="dxa"/>
        <w:bottom w:w="0" w:type="dxa"/>
        <w:right w:w="115" w:type="dxa"/>
      </w:tblCellMar>
    </w:tblPr>
    <w:tcPr>
      <w:tcBorders/>
    </w:tcPr>
  </w:style>
  <w:style w:type="table" w:customStyle="1" w:styleId="style4101">
    <w:basedOn w:val="style4097"/>
    <w:next w:val="style4101"/>
    <w:pPr/>
    <w:rPr/>
    <w:tblPr>
      <w:tblStyleRowBandSize w:val="1"/>
      <w:tblStyleColBandSize w:val="1"/>
      <w:tblCellMar>
        <w:top w:w="0" w:type="dxa"/>
        <w:left w:w="115" w:type="dxa"/>
        <w:bottom w:w="0" w:type="dxa"/>
        <w:right w:w="115" w:type="dxa"/>
      </w:tblCellMar>
    </w:tblPr>
    <w:tcPr>
      <w:tcBorders/>
    </w:tcPr>
  </w:style>
  <w:style w:type="paragraph" w:default="1" w:styleId="style0">
    <w:name w:val="Normal"/>
    <w:pPr>
      <w:jc w:val="both"/>
    </w:pPr>
    <w:rPr>
      <w:sz w:val="21"/>
    </w:rPr>
  </w:style>
</w:styles>
</file>

<file path=word/_rels/document.xml.rels><?xml version="1.0" encoding="UTF-8"?>
<Relationships xmlns="http://schemas.openxmlformats.org/package/2006/relationships"><Relationship Id="rId11" Type="http://schemas.openxmlformats.org/officeDocument/2006/relationships/fontTable" Target="fontTable.xml"/><Relationship Id="rId10" Type="http://schemas.openxmlformats.org/officeDocument/2006/relationships/styles" Target="styles.xml"/><Relationship Id="rId13" Type="http://schemas.openxmlformats.org/officeDocument/2006/relationships/theme" Target="theme/theme1.xml"/><Relationship Id="rId12" Type="http://schemas.openxmlformats.org/officeDocument/2006/relationships/settings" Target="settings.xml"/><Relationship Id="rId1" Type="http://schemas.openxmlformats.org/officeDocument/2006/relationships/numbering" Target="numbering.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header" Target="header1.xml"/><Relationship Id="rId9" Type="http://schemas.openxmlformats.org/officeDocument/2006/relationships/footer" Target="footer6.xml"/><Relationship Id="rId5" Type="http://schemas.openxmlformats.org/officeDocument/2006/relationships/header" Target="head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header" Target="header5.xml"/></Relationships>
</file>

<file path=word/_rels/header2.xml.rels><?xml version="1.0" encoding="UTF-8"?>
<Relationships xmlns="http://schemas.openxmlformats.org/package/2006/relationships"><Relationship Id="rId1" Type="http://schemas.openxmlformats.org/officeDocument/2006/relationships/image" Target="media/image3.jpeg"/></Relationships>
</file>

<file path=word/_rels/header5.xml.rels><?xml version="1.0" encoding="UTF-8"?>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2846</Words>
  <Characters>20005</Characters>
  <Application>WPS Office</Application>
  <Paragraphs>156</Paragraphs>
  <CharactersWithSpaces>22737</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2026-08-30T11:38:26Z</dcterms:created>
  <dc:creator>WPS Office</dc:creator>
  <lastModifiedBy>SM-A556E</lastModifiedBy>
  <dcterms:modified xsi:type="dcterms:W3CDTF">2026-08-30T11:38:26Z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629097eb32a04cfdb77f02399461935a_23</vt:lpwstr>
  </property>
</Properties>
</file>